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40" w:lineRule="auto"/>
        <w:jc w:val="center"/>
        <w:rPr>
          <w:rFonts w:hint="eastAsia" w:ascii="仿宋" w:hAnsi="仿宋" w:eastAsia="仿宋" w:cs="仿宋"/>
          <w:b/>
          <w:bCs/>
          <w:spacing w:val="20"/>
          <w:sz w:val="52"/>
          <w:szCs w:val="52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 w:ascii="仿宋" w:hAnsi="仿宋" w:eastAsia="仿宋" w:cs="仿宋"/>
          <w:lang w:val="en-US" w:eastAsia="zh-CN"/>
        </w:rPr>
      </w:pPr>
    </w:p>
    <w:p>
      <w:pPr>
        <w:widowControl/>
        <w:spacing w:line="720" w:lineRule="auto"/>
        <w:ind w:left="-280" w:leftChars="-100" w:right="-280" w:rightChars="-100" w:firstLine="0" w:firstLineChars="0"/>
        <w:jc w:val="center"/>
        <w:rPr>
          <w:rFonts w:hint="eastAsia" w:ascii="宋体" w:hAnsi="宋体" w:eastAsia="宋体" w:cs="宋体"/>
          <w:b/>
          <w:bCs/>
          <w:spacing w:val="20"/>
          <w:sz w:val="52"/>
          <w:szCs w:val="52"/>
        </w:rPr>
      </w:pPr>
      <w:r>
        <w:rPr>
          <w:rFonts w:hint="eastAsia" w:ascii="华文中宋" w:hAnsi="华文中宋" w:eastAsia="华文中宋" w:cs="宋体"/>
          <w:b/>
          <w:spacing w:val="20"/>
          <w:kern w:val="0"/>
          <w:sz w:val="56"/>
          <w:szCs w:val="56"/>
          <w:lang w:val="en-US" w:eastAsia="zh-CN"/>
        </w:rPr>
        <w:t>台州市农田灌溉发展规划</w:t>
      </w:r>
    </w:p>
    <w:p>
      <w:pPr>
        <w:pStyle w:val="6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pStyle w:val="7"/>
        <w:rPr>
          <w:rFonts w:hint="eastAsia"/>
        </w:rPr>
      </w:pPr>
    </w:p>
    <w:p>
      <w:pPr>
        <w:pStyle w:val="6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pStyle w:val="6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pStyle w:val="6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pStyle w:val="6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pStyle w:val="6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pStyle w:val="6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pStyle w:val="6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pStyle w:val="6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pStyle w:val="6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pStyle w:val="6"/>
        <w:jc w:val="center"/>
        <w:rPr>
          <w:rFonts w:hint="eastAsia" w:ascii="仿宋" w:hAnsi="仿宋" w:eastAsia="仿宋" w:cs="仿宋"/>
          <w:color w:val="auto"/>
          <w:spacing w:val="40"/>
          <w:kern w:val="2"/>
          <w:sz w:val="32"/>
          <w:szCs w:val="32"/>
          <w:lang w:val="en-US" w:eastAsia="zh-CN" w:bidi="ar-SA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Times New Roman" w:hAnsi="Times New Roman" w:eastAsia="楷体" w:cs="宋体"/>
          <w:spacing w:val="68"/>
          <w:kern w:val="0"/>
          <w:sz w:val="36"/>
          <w:szCs w:val="40"/>
          <w:lang w:val="en-US" w:eastAsia="zh-CN"/>
        </w:rPr>
      </w:pPr>
      <w:r>
        <w:rPr>
          <w:rFonts w:hint="eastAsia" w:ascii="Times New Roman" w:hAnsi="Times New Roman" w:eastAsia="楷体" w:cs="宋体"/>
          <w:spacing w:val="68"/>
          <w:kern w:val="0"/>
          <w:sz w:val="36"/>
          <w:szCs w:val="40"/>
          <w:lang w:val="en-US" w:eastAsia="zh-CN"/>
        </w:rPr>
        <w:t>台州市水利局</w:t>
      </w:r>
    </w:p>
    <w:p>
      <w:pPr>
        <w:widowControl/>
        <w:spacing w:line="240" w:lineRule="auto"/>
        <w:ind w:firstLine="0" w:firstLineChars="0"/>
        <w:jc w:val="center"/>
        <w:rPr>
          <w:rFonts w:hint="eastAsia" w:ascii="Times New Roman" w:hAnsi="Times New Roman" w:eastAsia="楷体" w:cs="宋体"/>
          <w:spacing w:val="68"/>
          <w:kern w:val="0"/>
          <w:sz w:val="36"/>
          <w:szCs w:val="40"/>
          <w:lang w:val="en-US" w:eastAsia="zh-CN"/>
        </w:rPr>
      </w:pPr>
      <w:r>
        <w:rPr>
          <w:rFonts w:hint="eastAsia" w:ascii="Times New Roman" w:hAnsi="Times New Roman" w:eastAsia="楷体" w:cs="宋体"/>
          <w:spacing w:val="68"/>
          <w:kern w:val="0"/>
          <w:sz w:val="36"/>
          <w:szCs w:val="40"/>
          <w:lang w:val="en-US" w:eastAsia="zh-CN"/>
        </w:rPr>
        <w:t>台州市农业农村局</w:t>
      </w:r>
    </w:p>
    <w:p>
      <w:pPr>
        <w:widowControl/>
        <w:spacing w:line="240" w:lineRule="auto"/>
        <w:ind w:firstLine="0" w:firstLineChars="0"/>
        <w:jc w:val="center"/>
        <w:rPr>
          <w:rFonts w:hint="eastAsia" w:ascii="Times New Roman" w:hAnsi="Times New Roman" w:eastAsia="楷体" w:cs="宋体"/>
          <w:spacing w:val="68"/>
          <w:kern w:val="0"/>
          <w:sz w:val="36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楷体" w:cs="宋体"/>
          <w:spacing w:val="68"/>
          <w:kern w:val="0"/>
          <w:sz w:val="36"/>
          <w:szCs w:val="40"/>
        </w:rPr>
        <w:t>二〇</w:t>
      </w:r>
      <w:r>
        <w:rPr>
          <w:rFonts w:hint="eastAsia" w:ascii="Times New Roman" w:hAnsi="Times New Roman" w:eastAsia="楷体" w:cs="宋体"/>
          <w:spacing w:val="68"/>
          <w:kern w:val="0"/>
          <w:sz w:val="36"/>
          <w:szCs w:val="40"/>
          <w:lang w:val="en-US" w:eastAsia="zh-CN"/>
        </w:rPr>
        <w:t>二</w:t>
      </w:r>
      <w:r>
        <w:rPr>
          <w:rFonts w:hint="eastAsia" w:eastAsia="楷体" w:cs="宋体"/>
          <w:spacing w:val="68"/>
          <w:kern w:val="0"/>
          <w:sz w:val="36"/>
          <w:szCs w:val="40"/>
          <w:lang w:val="en-US" w:eastAsia="zh-CN"/>
        </w:rPr>
        <w:t>五</w:t>
      </w:r>
      <w:r>
        <w:rPr>
          <w:rFonts w:hint="eastAsia" w:ascii="Times New Roman" w:hAnsi="Times New Roman" w:eastAsia="楷体" w:cs="宋体"/>
          <w:spacing w:val="68"/>
          <w:kern w:val="0"/>
          <w:sz w:val="36"/>
          <w:szCs w:val="40"/>
        </w:rPr>
        <w:t>年</w:t>
      </w:r>
      <w:r>
        <w:rPr>
          <w:rFonts w:hint="eastAsia" w:eastAsia="楷体" w:cs="宋体"/>
          <w:spacing w:val="68"/>
          <w:kern w:val="0"/>
          <w:sz w:val="36"/>
          <w:szCs w:val="40"/>
          <w:lang w:val="en-US" w:eastAsia="zh-CN"/>
        </w:rPr>
        <w:t>六</w:t>
      </w:r>
      <w:r>
        <w:rPr>
          <w:rFonts w:hint="eastAsia" w:ascii="Times New Roman" w:hAnsi="Times New Roman" w:eastAsia="楷体" w:cs="宋体"/>
          <w:spacing w:val="68"/>
          <w:kern w:val="0"/>
          <w:sz w:val="36"/>
          <w:szCs w:val="40"/>
        </w:rPr>
        <w:t>月</w:t>
      </w:r>
    </w:p>
    <w:sdt>
      <w:sdtPr>
        <w:rPr>
          <w:rFonts w:hint="eastAsia" w:ascii="仿宋" w:hAnsi="仿宋" w:eastAsia="仿宋" w:cs="仿宋"/>
          <w:b/>
          <w:bCs/>
          <w:kern w:val="2"/>
          <w:sz w:val="36"/>
          <w:szCs w:val="44"/>
          <w:lang w:val="en-US" w:eastAsia="zh-CN" w:bidi="ar-SA"/>
        </w:rPr>
        <w:id w:val="147475737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30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eastAsia="仿宋" w:cs="Times New Roman"/>
              <w:b/>
              <w:bCs/>
            </w:rPr>
          </w:pPr>
          <w:r>
            <w:rPr>
              <w:rFonts w:hint="eastAsia" w:ascii="仿宋" w:hAnsi="仿宋" w:eastAsia="仿宋" w:cs="仿宋"/>
              <w:b/>
              <w:bCs/>
              <w:kern w:val="2"/>
              <w:sz w:val="36"/>
              <w:szCs w:val="44"/>
              <w:lang w:val="en-US" w:eastAsia="zh-CN" w:bidi="ar-SA"/>
            </w:rPr>
            <w:t>目</w:t>
          </w:r>
          <w:r>
            <w:rPr>
              <w:rFonts w:hint="default" w:ascii="Times New Roman" w:hAnsi="Times New Roman" w:eastAsia="仿宋" w:cs="Times New Roman"/>
              <w:b/>
              <w:bCs/>
              <w:sz w:val="36"/>
              <w:szCs w:val="44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仿宋" w:cs="Times New Roman"/>
              <w:b/>
              <w:bCs/>
              <w:sz w:val="36"/>
              <w:szCs w:val="44"/>
            </w:rPr>
            <w:t>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 w:val="28"/>
              <w:szCs w:val="28"/>
            </w:rPr>
            <w:instrText xml:space="preserve">TOC \o "1-2" \h \u </w:instrText>
          </w:r>
          <w:r>
            <w:rPr>
              <w:rFonts w:hint="default" w:ascii="Times New Roman" w:hAnsi="Times New Roman" w:eastAsia="仿宋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_Toc19219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Cs w:val="48"/>
              <w:lang w:eastAsia="zh-CN"/>
            </w:rPr>
            <w:t>前</w:t>
          </w:r>
          <w:r>
            <w:rPr>
              <w:rFonts w:hint="eastAsia" w:ascii="黑体" w:hAnsi="黑体" w:eastAsia="黑体" w:cs="黑体"/>
              <w:szCs w:val="48"/>
              <w:lang w:val="en-US" w:eastAsia="zh-CN"/>
            </w:rPr>
            <w:t xml:space="preserve"> </w:t>
          </w:r>
          <w:r>
            <w:rPr>
              <w:rFonts w:hint="eastAsia" w:ascii="黑体" w:hAnsi="黑体" w:eastAsia="黑体" w:cs="黑体"/>
              <w:szCs w:val="48"/>
              <w:lang w:eastAsia="zh-CN"/>
            </w:rPr>
            <w:t>言</w:t>
          </w:r>
          <w:r>
            <w:tab/>
          </w:r>
          <w:r>
            <w:fldChar w:fldCharType="begin"/>
          </w:r>
          <w:r>
            <w:instrText xml:space="preserve"> PAGEREF _Toc19219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_Toc11901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zCs w:val="36"/>
              <w:lang w:val="en-US" w:eastAsia="zh-CN"/>
            </w:rPr>
            <w:t>一、现实情况与面临形势</w:t>
          </w:r>
          <w:r>
            <w:tab/>
          </w:r>
          <w:r>
            <w:fldChar w:fldCharType="begin"/>
          </w:r>
          <w:r>
            <w:instrText xml:space="preserve"> PAGEREF _Toc11901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_Toc21405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（一）基本情况</w:t>
          </w:r>
          <w:r>
            <w:tab/>
          </w:r>
          <w:r>
            <w:fldChar w:fldCharType="begin"/>
          </w:r>
          <w:r>
            <w:instrText xml:space="preserve"> PAGEREF _Toc21405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_Toc25495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（二）存在问题</w:t>
          </w:r>
          <w:r>
            <w:tab/>
          </w:r>
          <w:r>
            <w:fldChar w:fldCharType="begin"/>
          </w:r>
          <w:r>
            <w:instrText xml:space="preserve"> PAGEREF _Toc25495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_Toc11593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（三）面临形势</w:t>
          </w:r>
          <w:r>
            <w:tab/>
          </w:r>
          <w:r>
            <w:fldChar w:fldCharType="begin"/>
          </w:r>
          <w:r>
            <w:instrText xml:space="preserve"> PAGEREF _Toc11593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_Toc15424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（四）发展需求</w:t>
          </w:r>
          <w:r>
            <w:tab/>
          </w:r>
          <w:r>
            <w:fldChar w:fldCharType="begin"/>
          </w:r>
          <w:r>
            <w:instrText xml:space="preserve"> PAGEREF _Toc15424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_Toc105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zCs w:val="36"/>
              <w:lang w:val="en-US" w:eastAsia="zh-CN"/>
            </w:rPr>
            <w:t>二、灌溉面积与发展潜力</w:t>
          </w:r>
          <w:r>
            <w:tab/>
          </w:r>
          <w:r>
            <w:fldChar w:fldCharType="begin"/>
          </w:r>
          <w:r>
            <w:instrText xml:space="preserve"> PAGEREF _Toc105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_Toc310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（一）现状灌溉面积</w:t>
          </w:r>
          <w:r>
            <w:tab/>
          </w:r>
          <w:r>
            <w:fldChar w:fldCharType="begin"/>
          </w:r>
          <w:r>
            <w:instrText xml:space="preserve"> PAGEREF _Toc310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_Toc30119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（二）灌溉面积增长潜力</w:t>
          </w:r>
          <w:r>
            <w:tab/>
          </w:r>
          <w:r>
            <w:fldChar w:fldCharType="begin"/>
          </w:r>
          <w:r>
            <w:instrText xml:space="preserve"> PAGEREF _Toc30119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_Toc22459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（三）灌溉面积减少可能性分析</w:t>
          </w:r>
          <w:r>
            <w:tab/>
          </w:r>
          <w:r>
            <w:fldChar w:fldCharType="begin"/>
          </w:r>
          <w:r>
            <w:instrText xml:space="preserve"> PAGEREF _Toc22459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_Toc18298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（四）灌溉发展规模</w:t>
          </w:r>
          <w:r>
            <w:tab/>
          </w:r>
          <w:r>
            <w:fldChar w:fldCharType="begin"/>
          </w:r>
          <w:r>
            <w:instrText xml:space="preserve"> PAGEREF _Toc18298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_Toc31166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zCs w:val="36"/>
              <w:lang w:val="en-US" w:eastAsia="zh-CN"/>
            </w:rPr>
            <w:t>三、规划目标与总体布局</w:t>
          </w:r>
          <w:r>
            <w:tab/>
          </w:r>
          <w:r>
            <w:fldChar w:fldCharType="begin"/>
          </w:r>
          <w:r>
            <w:instrText xml:space="preserve"> PAGEREF _Toc31166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_Toc21533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（一）指导思想</w:t>
          </w:r>
          <w:r>
            <w:tab/>
          </w:r>
          <w:r>
            <w:fldChar w:fldCharType="begin"/>
          </w:r>
          <w:r>
            <w:instrText xml:space="preserve"> PAGEREF _Toc21533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_Toc20591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（二）基本原则</w:t>
          </w:r>
          <w:r>
            <w:tab/>
          </w:r>
          <w:r>
            <w:fldChar w:fldCharType="begin"/>
          </w:r>
          <w:r>
            <w:instrText xml:space="preserve"> PAGEREF _Toc20591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_Toc23644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（三）规划目标</w:t>
          </w:r>
          <w:r>
            <w:tab/>
          </w:r>
          <w:r>
            <w:fldChar w:fldCharType="begin"/>
          </w:r>
          <w:r>
            <w:instrText xml:space="preserve"> PAGEREF _Toc23644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_Toc3163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（四）总体布局</w:t>
          </w:r>
          <w:r>
            <w:tab/>
          </w:r>
          <w:r>
            <w:fldChar w:fldCharType="begin"/>
          </w:r>
          <w:r>
            <w:instrText xml:space="preserve"> PAGEREF _Toc3163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_Toc15801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zCs w:val="36"/>
              <w:lang w:val="en-US" w:eastAsia="zh-CN"/>
            </w:rPr>
            <w:t>四、主要建设任务</w:t>
          </w:r>
          <w:r>
            <w:tab/>
          </w:r>
          <w:r>
            <w:fldChar w:fldCharType="begin"/>
          </w:r>
          <w:r>
            <w:instrText xml:space="preserve"> PAGEREF _Toc15801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_Toc28546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（</w:t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一</w:t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）</w:t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谋划一批农业灌溉水源保障工程</w:t>
          </w:r>
          <w:r>
            <w:tab/>
          </w:r>
          <w:r>
            <w:fldChar w:fldCharType="begin"/>
          </w:r>
          <w:r>
            <w:instrText xml:space="preserve"> PAGEREF _Toc28546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_Toc10924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（二）</w:t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新建改造一批大中型灌区</w:t>
          </w:r>
          <w:r>
            <w:tab/>
          </w:r>
          <w:r>
            <w:fldChar w:fldCharType="begin"/>
          </w:r>
          <w:r>
            <w:instrText xml:space="preserve"> PAGEREF _Toc10924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_Toc24840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（三）</w:t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提升新建一批高标准农田灌排工程</w:t>
          </w:r>
          <w:r>
            <w:tab/>
          </w:r>
          <w:r>
            <w:fldChar w:fldCharType="begin"/>
          </w:r>
          <w:r>
            <w:instrText xml:space="preserve"> PAGEREF _Toc24840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_Toc14874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（</w:t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四</w:t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）发展一批2000亩以上重点小型灌区</w:t>
          </w:r>
          <w:r>
            <w:tab/>
          </w:r>
          <w:r>
            <w:fldChar w:fldCharType="begin"/>
          </w:r>
          <w:r>
            <w:instrText xml:space="preserve"> PAGEREF _Toc14874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_Toc24422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（</w:t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五</w:t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）打造一批“水-农-旅”融合的现代化灌区样板</w:t>
          </w:r>
          <w:r>
            <w:tab/>
          </w:r>
          <w:r>
            <w:fldChar w:fldCharType="begin"/>
          </w:r>
          <w:r>
            <w:instrText xml:space="preserve"> PAGEREF _Toc24422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_Toc12075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zCs w:val="36"/>
              <w:lang w:val="en-US" w:eastAsia="zh-CN"/>
            </w:rPr>
            <w:t>五、主要管理任务</w:t>
          </w:r>
          <w:r>
            <w:tab/>
          </w:r>
          <w:r>
            <w:fldChar w:fldCharType="begin"/>
          </w:r>
          <w:r>
            <w:instrText xml:space="preserve"> PAGEREF _Toc12075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_Toc19794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（</w:t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一</w:t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）</w:t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完善农田灌溉工程建设机制</w:t>
          </w:r>
          <w:r>
            <w:tab/>
          </w:r>
          <w:r>
            <w:fldChar w:fldCharType="begin"/>
          </w:r>
          <w:r>
            <w:instrText xml:space="preserve"> PAGEREF _Toc19794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_Toc9512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（</w:t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二</w:t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）</w:t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创新</w:t>
          </w:r>
          <w:r>
            <w:rPr>
              <w:rFonts w:hint="eastAsia" w:ascii="楷体" w:hAnsi="楷体" w:eastAsia="楷体" w:cs="楷体"/>
              <w:szCs w:val="32"/>
              <w:lang w:val="zh-CN" w:eastAsia="zh-CN"/>
            </w:rPr>
            <w:t>农田灌溉管理体制机制</w:t>
          </w:r>
          <w:r>
            <w:tab/>
          </w:r>
          <w:r>
            <w:fldChar w:fldCharType="begin"/>
          </w:r>
          <w:r>
            <w:instrText xml:space="preserve"> PAGEREF _Toc9512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_Toc14006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zCs w:val="36"/>
              <w:lang w:val="en-US" w:eastAsia="zh-CN"/>
            </w:rPr>
            <w:t>六、投资匡算与实施安排</w:t>
          </w:r>
          <w:r>
            <w:tab/>
          </w:r>
          <w:r>
            <w:fldChar w:fldCharType="begin"/>
          </w:r>
          <w:r>
            <w:instrText xml:space="preserve"> PAGEREF _Toc14006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_Toc26385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（一）投资匡算</w:t>
          </w:r>
          <w:r>
            <w:tab/>
          </w:r>
          <w:r>
            <w:fldChar w:fldCharType="begin"/>
          </w:r>
          <w:r>
            <w:instrText xml:space="preserve"> PAGEREF _Toc26385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_Toc22111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（二）实施安排</w:t>
          </w:r>
          <w:r>
            <w:tab/>
          </w:r>
          <w:r>
            <w:fldChar w:fldCharType="begin"/>
          </w:r>
          <w:r>
            <w:instrText xml:space="preserve"> PAGEREF _Toc22111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_Toc14594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szCs w:val="36"/>
              <w:lang w:val="en-US" w:eastAsia="zh-CN"/>
            </w:rPr>
            <w:t>七、保障措施</w:t>
          </w:r>
          <w:r>
            <w:tab/>
          </w:r>
          <w:r>
            <w:fldChar w:fldCharType="begin"/>
          </w:r>
          <w:r>
            <w:instrText xml:space="preserve"> PAGEREF _Toc14594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_Toc10848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（一）加强组织领导</w:t>
          </w:r>
          <w:r>
            <w:tab/>
          </w:r>
          <w:r>
            <w:fldChar w:fldCharType="begin"/>
          </w:r>
          <w:r>
            <w:instrText xml:space="preserve"> PAGEREF _Toc10848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_Toc18852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（二）强化资金保障</w:t>
          </w:r>
          <w:r>
            <w:tab/>
          </w:r>
          <w:r>
            <w:fldChar w:fldCharType="begin"/>
          </w:r>
          <w:r>
            <w:instrText xml:space="preserve"> PAGEREF _Toc18852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_Toc5168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（三）强化监督考核</w:t>
          </w:r>
          <w:r>
            <w:tab/>
          </w:r>
          <w:r>
            <w:fldChar w:fldCharType="begin"/>
          </w:r>
          <w:r>
            <w:instrText xml:space="preserve"> PAGEREF _Toc5168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_Toc29752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szCs w:val="32"/>
              <w:lang w:val="en-US" w:eastAsia="zh-CN"/>
            </w:rPr>
            <w:t>（四）注重创新驱动</w:t>
          </w:r>
          <w:r>
            <w:tab/>
          </w:r>
          <w:r>
            <w:fldChar w:fldCharType="begin"/>
          </w:r>
          <w:r>
            <w:instrText xml:space="preserve"> PAGEREF _Toc29752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_Toc11017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bCs w:val="0"/>
              <w:kern w:val="2"/>
              <w:szCs w:val="32"/>
              <w:lang w:val="en-US" w:eastAsia="zh-CN" w:bidi="ar-SA"/>
            </w:rPr>
            <w:t>附表1  台州市灌溉面积发展情况表</w:t>
          </w:r>
          <w:r>
            <w:tab/>
          </w:r>
          <w:r>
            <w:fldChar w:fldCharType="begin"/>
          </w:r>
          <w:r>
            <w:instrText xml:space="preserve"> PAGEREF _Toc11017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begin"/>
          </w:r>
          <w:r>
            <w:rPr>
              <w:rFonts w:hint="default" w:ascii="Times New Roman" w:hAnsi="Times New Roman" w:eastAsia="仿宋" w:cs="Times New Roman"/>
              <w:szCs w:val="28"/>
            </w:rPr>
            <w:instrText xml:space="preserve"> HYPERLINK \l _Toc8 </w:instrText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separate"/>
          </w:r>
          <w:r>
            <w:rPr>
              <w:rFonts w:hint="eastAsia" w:ascii="楷体" w:hAnsi="楷体" w:eastAsia="楷体" w:cs="楷体"/>
              <w:bCs w:val="0"/>
              <w:kern w:val="2"/>
              <w:szCs w:val="32"/>
              <w:lang w:val="en-US" w:eastAsia="zh-CN" w:bidi="ar-SA"/>
            </w:rPr>
            <w:t>附表2  台州市农田灌溉发展规划项目表</w:t>
          </w:r>
          <w:r>
            <w:tab/>
          </w:r>
          <w:r>
            <w:fldChar w:fldCharType="begin"/>
          </w:r>
          <w:r>
            <w:instrText xml:space="preserve"> PAGEREF _Toc8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  <w:p>
          <w:pPr>
            <w:pStyle w:val="6"/>
            <w:ind w:left="0" w:leftChars="0" w:firstLine="0" w:firstLineChars="0"/>
            <w:jc w:val="both"/>
            <w:rPr>
              <w:rFonts w:hint="eastAsia" w:ascii="仿宋" w:hAnsi="仿宋" w:eastAsia="仿宋" w:cs="仿宋"/>
              <w:b/>
              <w:bCs/>
              <w:color w:val="auto"/>
              <w:kern w:val="2"/>
              <w:sz w:val="28"/>
              <w:szCs w:val="30"/>
              <w:lang w:val="en-US" w:eastAsia="zh-CN" w:bidi="ar-SA"/>
            </w:rPr>
          </w:pPr>
          <w:r>
            <w:rPr>
              <w:rFonts w:hint="default" w:ascii="Times New Roman" w:hAnsi="Times New Roman" w:eastAsia="仿宋" w:cs="Times New Roman"/>
              <w:szCs w:val="28"/>
            </w:rPr>
            <w:fldChar w:fldCharType="end"/>
          </w:r>
        </w:p>
      </w:sdtContent>
    </w:sdt>
    <w:p>
      <w:pPr>
        <w:pStyle w:val="6"/>
        <w:ind w:left="0" w:leftChars="0" w:firstLine="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30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30"/>
          <w:lang w:val="en-US" w:eastAsia="zh-CN" w:bidi="ar-SA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30"/>
          <w:lang w:val="en-US" w:eastAsia="zh-CN" w:bidi="ar-SA"/>
        </w:rPr>
        <w:t>附图1 台州市大中型灌区现状图</w:t>
      </w:r>
    </w:p>
    <w:p>
      <w:pPr>
        <w:rPr>
          <w:rFonts w:hint="eastAsia" w:ascii="楷体" w:hAnsi="楷体" w:eastAsia="楷体" w:cs="楷体"/>
          <w:b w:val="0"/>
          <w:bCs w:val="0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30"/>
          <w:lang w:val="en-US" w:eastAsia="zh-CN" w:bidi="ar-SA"/>
        </w:rPr>
        <w:t>附图2 台州市大中型灌区规划图</w:t>
      </w:r>
    </w:p>
    <w:p>
      <w:pPr>
        <w:pStyle w:val="2"/>
        <w:bidi w:val="0"/>
        <w:ind w:left="0" w:leftChars="0" w:firstLine="0" w:firstLineChars="0"/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bookmarkStart w:id="0" w:name="_Toc18634"/>
      <w:bookmarkStart w:id="1" w:name="_Toc19219"/>
      <w:bookmarkStart w:id="2" w:name="_Toc2854"/>
      <w:r>
        <w:rPr>
          <w:rFonts w:hint="eastAsia" w:ascii="黑体" w:hAnsi="黑体" w:eastAsia="黑体" w:cs="黑体"/>
          <w:sz w:val="40"/>
          <w:szCs w:val="48"/>
          <w:lang w:eastAsia="zh-CN"/>
        </w:rPr>
        <w:t>前</w:t>
      </w: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言</w:t>
      </w:r>
      <w:bookmarkEnd w:id="0"/>
      <w:bookmarkEnd w:id="1"/>
      <w:bookmarkEnd w:id="2"/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粮食生产根本在耕地，命脉在水利。党中央、国务院高度重视农田灌溉保障，习近平总书记多次就粮食安全作出重要指示批示。党的二十大报告提出“全方位夯实粮食安全根基，牢牢守住十八亿亩耕地红线，逐步把永久基本农田全部建成高标准农田”。2022年中央财经委员会第十一次会议明确提出“推进重点水源、灌区、蓄滞洪区建设和现代化改造”。2022年中央一号文件提出“研究制定增加农田灌溉面积的规划”。灌区是保障粮食安全的重要基础设施，也是全面推进乡村振兴的主阵地，更是推动共同富裕、建设新时代美丽乡村的坚实保障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浙江省第十五次党代会提出“全力打好粮食安全保卫战”“高标准建设现代交通物流设施网、能源设施网、水利设施网、市政设施网、应急储备设施网和新型基础设施网”。浙江省委省政府印发《关于以“千万工程”牵引城乡融合发展缩小“三大差距”推进共同富裕先行示范的实施方案》，将粮食和重要农产品稳定安全供给作为乡村发展的主要目标。进入新发展阶段，贯彻新发展理念，浙江进入“中国特色社会主义共同富裕先行和省域现代化先行”的新发展时期，灌区建设和管理面临新的形势和任务。浙江省水利厅 农业农村厅印发《关于开展浙江省农田灌溉发展规划编制工作的通知》（浙水农电〔2022〕27 号），要求各市、有关县（市、区）摸清灌溉需求、评估发展潜力，合理制定目标、明晰总体布局，明确建设任务、建立保障机制，开展市级、县级农田灌溉发展规划编制。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深入贯彻落实党中央、国务院及浙江省有关政策文件精神，保障粮食安全、助力乡村振兴和共同富裕，台州市水利局组织编制了《台州市农田灌溉发展规划》，对下一阶段台州市农田灌溉发展目标、布局、任务和管理体制机制进行系统谋划，打造一批“节水高效、设施完善、管理智治、生态优良、富民惠民”现代化灌区，全面夯实我市粮食安全和农业农村现代化的水利设施网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规划基准年为2021年，规划水平年为2035年。</w:t>
      </w:r>
    </w:p>
    <w:p>
      <w:pPr>
        <w:pStyle w:val="2"/>
        <w:bidi w:val="0"/>
        <w:ind w:firstLine="1124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bookmarkStart w:id="3" w:name="_Toc11901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一、现实情况与面临形势</w:t>
      </w:r>
      <w:bookmarkEnd w:id="3"/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4" w:name="_Toc21405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（一）基本情况</w:t>
      </w:r>
      <w:bookmarkEnd w:id="4"/>
    </w:p>
    <w:p>
      <w:pPr>
        <w:spacing w:line="360" w:lineRule="auto"/>
        <w:ind w:firstLine="642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1.自然禀赋</w:t>
      </w:r>
    </w:p>
    <w:p>
      <w:pPr>
        <w:spacing w:line="360" w:lineRule="auto"/>
        <w:ind w:firstLine="642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地形复杂、江河纵横：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台州市依山面海，地势由西向东倾斜，西北山脉连绵，峰峦迭起。东南丘陵缓延，平原滩涂宽广，河道纵横。南面以雁荡山为屏，有括苍山、大雷山和天台山等主要山峰，其中括苍山主峰米筛浪高达1382.4m，是浙东最高峰。近海有12个岛群691个岛屿，主要有台州列岛和东矶列岛等。最大岛屿为玉环岛，现与大陆相连，大致构成“七山一水二分田”的结构特征。台州市山地与丘陵占台州市陆域面积的73%，平原区面积约占22.4%，河流水面约占4.6%。 </w:t>
      </w:r>
    </w:p>
    <w:p>
      <w:pPr>
        <w:spacing w:line="360" w:lineRule="auto"/>
        <w:ind w:firstLine="642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耕地稀缺，农业发达：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耕地资源少、分布散，人口增长速度快，人均耕地占比低。作为东部沿海地区，台州市围绕构建城乡一体化核心区、西部生态绿色发展区、滨海风情体验区和多点（“一心两区多点”）的城乡空间布局，提升农业科技驱动力、现代农业经营主体竞争力、乡村产业融合力、乡村风貌吸引力、乡村绿色承载力、乡村数字引领力，农业农村现代化建设走在前列。</w:t>
      </w:r>
    </w:p>
    <w:p>
      <w:pPr>
        <w:spacing w:line="360" w:lineRule="auto"/>
        <w:ind w:firstLine="642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灾害多样，旱灾频发：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台州乃多灾之区，地属亚热带季风区，春季多低温，夏秋高温干旱，又多台风暴雨，自古各种自然灾害频繁，特别是水、旱灾对农业生产危害尤甚。2003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~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2004年上半年，台州市出现50年一遇的严重干旱。2017年台州市玉环市、温岭市发生干旱，部分水库蓄水率低于5%，甚至库底朝天。近年来，台州市接连遭遇2020-2021年的冬春旱情和2022年的系统性旱情，特别是南片地区，包括椒江、黄岩、路桥、台州湾新区、温岭、玉环，面临严重水利旱情，给农业生产和人民生活带来了较大影响。</w:t>
      </w:r>
    </w:p>
    <w:p>
      <w:pPr>
        <w:spacing w:line="360" w:lineRule="auto"/>
        <w:ind w:firstLine="642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2.农田灌溉现状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市灌区共计有2873个，灌溉面积216.52万亩。其中，大型灌区1个，为牛头山水库灌区，灌区灌溉面积26.76万亩，主要分布于椒北和大田平原；中型灌区8个，自流灌区和提水灌区各4个，主要分布于椒江、黄岩、路桥、临海、温岭、天台、仙居等地，灌溉面积72.08万亩；小型灌区2864个，灌溉面积117.68万亩，其中提水灌区1653个，自流灌区1211个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5" w:name="_Toc25495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（二）存在问题</w:t>
      </w:r>
      <w:bookmarkEnd w:id="5"/>
    </w:p>
    <w:p>
      <w:pPr>
        <w:widowControl/>
        <w:spacing w:line="360" w:lineRule="auto"/>
        <w:ind w:firstLine="642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一是灌溉水源保障水平有待进一步提升。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  <w:t>从现状来看，水资源节约供给水平不高，与国家粮食安全和水安全保障战略要求不相适应。一方面，水资源开发利用尚显不足，水资源调节能力较低，战略备用水源欠缺，水资源开发利用率较低，难以满足枯水年用水。另一方面，我市水资源空间分布与生产力布局不协调，多源互补、丰枯调剂的水资源联合配置体系尚不完善，难以平衡不同地区水资源供需矛盾。就目前的水资源格局而言，我市应对特枯年或连续干旱年的工程措施和非工程措施相对薄弱，部分地区供水水源结构单一，保证程度不高，突发性事件应急处置能力不强，在特殊干旱年、历史连旱年水资源供给存在较大风险，粮食安全和水安全将面临巨大挑战。</w:t>
      </w:r>
    </w:p>
    <w:p>
      <w:pPr>
        <w:widowControl/>
        <w:spacing w:line="360" w:lineRule="auto"/>
        <w:ind w:firstLine="642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二是农田灌排设施体系有待进一步完善。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  <w:t>我市大部分农田灌排设施均为上世纪50～70年代依靠农民投工投劳、因陋就简兴建起来，与目前交通、能源、信息等基础设施和基础产业的快速发展相比，农田灌排设施体系的建设标准总体偏低且不完善，大中型灌区的骨干灌排渠系及建筑物的配套率总体较高，但田间工程综合配套率仅有70%左右；小型灌区的灌排设施配套不全现象较为突出，综合配套率不足60%。平原地区农田灌溉保障程度较高，但防洪、排涝能力明显不足。部分农田灌排工程已超过设计年限，老化失修严重，骨干灌排工程及建筑物的完好率不到80%，田间工程完好率不足55%，农田灌排“最后一公里”问题突出。</w:t>
      </w:r>
    </w:p>
    <w:p>
      <w:pPr>
        <w:widowControl/>
        <w:spacing w:line="360" w:lineRule="auto"/>
        <w:ind w:firstLine="642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三是灌溉用水效率有待进一步提高。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  <w:t>现状我市先进节水灌溉技术尚未得到有效推广，高效节水灌溉工程面积所占全市灌溉面积比例仅有10.2%，远低于国内很多省份及国外发达国家水平，与我市经济社会的发展水平及其需求很不相适应。从农业灌溉用水效率指标看，目前全市灌溉水有效利用系数为0.595，低于全省平均水平0.606，与国内外节水先进国家和地区相比，农业灌溉用水效率指标仅为其水平的75%左右，单方灌溉水的粮食产量仅为其水平50%左右，两者差距较为明显。总体而言，我市农业灌溉用水效率有待提高，发展方式仍显粗放。</w:t>
      </w:r>
    </w:p>
    <w:p>
      <w:pPr>
        <w:widowControl/>
        <w:spacing w:line="360" w:lineRule="auto"/>
        <w:ind w:firstLine="642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四是农田灌溉投入机制有待进一步健全。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  <w:t>多年来，我市农田灌溉事业投入上存在着总量不足、投入分散等问题，新的投入机制尚未完善建立，总体滞后于经济社会发展需求。目前我市大中型灌区完成现代化改造仅金清灌区1个中型灌区，列入2023-2025年现代化改造范围的只有里石门水库灌区和里林灌区，仅占全市大中型灌区数量的1/3，全市仍有2/3大中型灌区未开展过系统的现代化改造。我市涉及农田灌溉的投入渠道很多，参与部门有发改、财政、水利、农业农村、自然资源、林业等，如灌区现代化改造项目（水利）、新增千亿斤粮食产能项目（发改）、农业“两区”和高标准农田建设（农业农村）、土地治理项目（自然资源）等，关于农业灌排设施建设存在着标准不一致、项目间衔接不够等问题，资金有待进一步整合。</w:t>
      </w:r>
    </w:p>
    <w:p>
      <w:pPr>
        <w:widowControl/>
        <w:spacing w:line="360" w:lineRule="auto"/>
        <w:ind w:firstLine="642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五是农田灌溉管理机制有待进一步完善。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  <w:t>目前，全市大中型灌区信息化建设滞后，管护设施配套不完善。灌溉管理手段落后，用水调度大多凭经验进行，灌区不能动态制定用水计划，无法适应水情、作物种植结构等的变化情况。我市小型农田灌排设施的建设和管护主体主要为村集体或农民群众，工程产权不清、管护责任不落实，农民参与管理的意识淡薄。农村水利基层服务体系尚不健全，担负着农田水利建设管理具体职能的基层水利站，在乡镇机构改革中，没有充分考虑基层水利管理特点，简单地归并或撤销，并存在着混岗混编、维修经费不足等问题，削弱了农田水利建设管理的职能。农民用水合作组织发展不理想，虽通过农业水价综合改革建立了村级用水管理组织，但经民政部门登记在册比例较低，运行状况较差，且地区之间发展不平衡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6" w:name="_Toc11593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（三）面临形势</w:t>
      </w:r>
      <w:bookmarkEnd w:id="6"/>
    </w:p>
    <w:p>
      <w:pPr>
        <w:spacing w:line="580" w:lineRule="exact"/>
        <w:ind w:firstLine="648" w:firstLineChars="200"/>
        <w:jc w:val="both"/>
        <w:rPr>
          <w:rFonts w:hint="eastAsia" w:ascii="仿宋" w:hAnsi="仿宋" w:eastAsia="仿宋" w:cs="仿宋"/>
          <w:color w:val="auto"/>
          <w:spacing w:val="2"/>
          <w:kern w:val="0"/>
          <w:sz w:val="32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28"/>
          <w:lang w:val="en-US" w:eastAsia="zh-CN" w:bidi="ar-SA"/>
        </w:rPr>
        <w:t>近年来，省委、省政府把全方位夯实粮食安全根基作为头等大事、摆在首要位置。在新的发展形势下，全市农田灌溉发展面临着新的使命和机遇。</w:t>
      </w:r>
    </w:p>
    <w:p>
      <w:pPr>
        <w:spacing w:line="580" w:lineRule="exact"/>
        <w:ind w:firstLine="650" w:firstLineChars="200"/>
        <w:jc w:val="both"/>
        <w:rPr>
          <w:rFonts w:hint="eastAsia" w:ascii="仿宋" w:hAnsi="仿宋" w:eastAsia="仿宋" w:cs="仿宋"/>
          <w:color w:val="auto"/>
          <w:spacing w:val="2"/>
          <w:kern w:val="0"/>
          <w:sz w:val="32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2"/>
          <w:kern w:val="0"/>
          <w:sz w:val="32"/>
          <w:szCs w:val="28"/>
          <w:lang w:val="en-US" w:eastAsia="zh-CN" w:bidi="ar-SA"/>
        </w:rPr>
        <w:t>从保障粮食安全上看，需要提供完善的农田灌溉基础设施保障。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28"/>
          <w:lang w:val="en-US" w:eastAsia="zh-CN" w:bidi="ar-SA"/>
        </w:rPr>
        <w:t>面对全球疫情和经贸形势，习近平总书记强调“18亿耕地必须实至名归，农田就是农田，而且必须是良田”，将保障粮食安全摆在维护国家安全高度。粮食安全是国家安全的重要基础，没有粮食安全就没有国家安全。灌区是保障国家粮食安全的重要基础设施，范围内耕地面积及高标准农田集中连片、规模大，是稳定粮食生产、保障粮食安全的核心区域。目前，我市耕地面积194.79万亩，与国土二调相比下降明显，粮食自给率较低，需要进一步完善农田灌溉基础设施建设，提升灌溉面积与生产力。</w:t>
      </w:r>
    </w:p>
    <w:p>
      <w:pPr>
        <w:spacing w:line="580" w:lineRule="exact"/>
        <w:ind w:firstLine="650" w:firstLineChars="200"/>
        <w:jc w:val="both"/>
        <w:rPr>
          <w:rFonts w:hint="eastAsia" w:ascii="仿宋" w:hAnsi="仿宋" w:eastAsia="仿宋" w:cs="仿宋"/>
          <w:color w:val="auto"/>
          <w:spacing w:val="2"/>
          <w:kern w:val="0"/>
          <w:sz w:val="32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2"/>
          <w:kern w:val="0"/>
          <w:sz w:val="32"/>
          <w:szCs w:val="28"/>
          <w:lang w:val="en-US" w:eastAsia="zh-CN" w:bidi="ar-SA"/>
        </w:rPr>
        <w:t>从落实国家节水行动上看，需要进一步提高农田灌溉用水效率。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28"/>
          <w:lang w:val="en-US" w:eastAsia="zh-CN" w:bidi="ar-SA"/>
        </w:rPr>
        <w:t>习近平总书记提出了“节水优先、空间均衡、系统治理、两手发力”的新时期治水思路和“以水定城、以水定地、以水定人、以水定产”要求，是新时期做好节水工作的思想指引和根本遵循。《浙江省节水行动实施方案》提出“努力把浙江建设成为南方丰水地区实施节水行动的标杆省份”“继续推进大中型灌区节水改造，发展高效节水灌溉”，《台州市节水行动实施方案》提出“努力把台州建设成为南方地区实施国家节水行动的标杆地市”，“实施农业节水灌溉，发展高效节水灌溉”。灌区是用水大户，我市农田灌溉用水量约占总用水量的40%，灌溉水利用系数仅0.595，省级以上节水型灌区仅有金清灌区、里石门水库灌区2个，农田灌溉用水效率还有较大提升空间，管理水平与国家节水行动的要求还有较大差距。</w:t>
      </w:r>
    </w:p>
    <w:p>
      <w:pPr>
        <w:spacing w:line="580" w:lineRule="exact"/>
        <w:ind w:firstLine="650" w:firstLineChars="200"/>
        <w:jc w:val="both"/>
        <w:rPr>
          <w:rFonts w:hint="eastAsia" w:ascii="仿宋" w:hAnsi="仿宋" w:eastAsia="仿宋" w:cs="仿宋"/>
          <w:color w:val="auto"/>
          <w:spacing w:val="2"/>
          <w:kern w:val="0"/>
          <w:sz w:val="32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2"/>
          <w:kern w:val="0"/>
          <w:sz w:val="32"/>
          <w:szCs w:val="28"/>
          <w:lang w:val="en-US" w:eastAsia="zh-CN" w:bidi="ar-SA"/>
        </w:rPr>
        <w:t>从全面推进乡村振兴和共同富裕上看，需要农田灌溉提供更加全面的支撑。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28"/>
          <w:lang w:val="en-US" w:eastAsia="zh-CN" w:bidi="ar-SA"/>
        </w:rPr>
        <w:t>浙江省第十五</w:t>
      </w:r>
      <w:bookmarkStart w:id="43" w:name="_GoBack"/>
      <w:bookmarkEnd w:id="43"/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28"/>
          <w:lang w:val="en-US" w:eastAsia="zh-CN" w:bidi="ar-SA"/>
        </w:rPr>
        <w:t>次党代会提出在高质量发展中奋力推进“两个先行”“牢牢把握率先突破发展不平衡不充分问题的要求”。2021年，台州市城乡居民收入倍差缩小至1.92，城乡发展和地区发展不平衡不充分的问题依然存在。三门、天台、仙居等山区26县灌区分布广，基础设施相对薄弱，成为我市全面推进乡村振兴和共同富裕路上的明显短板。农田灌溉基础设施作为农业的命脉，其地位和作用与农业农村现代化、乡村振兴和共同富裕的要求不相匹配，未来五年要着力夯实灌区基本盘，加强农田水利设施管护，支撑乡村振兴和共同富裕。</w:t>
      </w:r>
    </w:p>
    <w:p>
      <w:pPr>
        <w:spacing w:line="580" w:lineRule="exact"/>
        <w:ind w:firstLine="650" w:firstLineChars="200"/>
        <w:jc w:val="both"/>
        <w:rPr>
          <w:rFonts w:hint="eastAsia" w:ascii="仿宋" w:hAnsi="仿宋" w:eastAsia="仿宋" w:cs="仿宋"/>
          <w:color w:val="auto"/>
          <w:spacing w:val="2"/>
          <w:kern w:val="0"/>
          <w:sz w:val="32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2"/>
          <w:kern w:val="0"/>
          <w:sz w:val="32"/>
          <w:szCs w:val="28"/>
          <w:lang w:val="en-US" w:eastAsia="zh-CN" w:bidi="ar-SA"/>
        </w:rPr>
        <w:t>从高水平推进管理能力提升上看，需要加快农田灌溉数字化发展的步伐。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28"/>
          <w:lang w:val="en-US" w:eastAsia="zh-CN" w:bidi="ar-SA"/>
        </w:rPr>
        <w:t>水利部《加强灌区建设与管理 夯实粮食安全水利基础》提出“在全国选取具备条件的10余处大型灌区、20处中型灌区开展数字灌区先行先试”。我市灌区还存在感知体系建设不足、灌区“四预”能力偏弱等现象，与数字孪生灌区要求差距明显。部分灌区还存在灌溉范围不明、灌溉水量不足、管理边界不清等问题，尚未形成“灌区一张图”管理。对标数字浙江的建设，灌区数字化改革任重而道远，目前还尚未形成可推广可复制的成果，通过数字化改革打破制约灌区创新发展、灌区现代化建设的瓶颈，形成“重要窗口”灌区标志性成果势在必行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7" w:name="_Toc15424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（四）发展需求</w:t>
      </w:r>
      <w:bookmarkEnd w:id="7"/>
    </w:p>
    <w:p>
      <w:pPr>
        <w:pStyle w:val="19"/>
        <w:ind w:firstLine="568"/>
        <w:jc w:val="both"/>
        <w:rPr>
          <w:rFonts w:hint="eastAsia" w:ascii="仿宋" w:hAnsi="仿宋" w:eastAsia="仿宋" w:cs="仿宋"/>
          <w:color w:val="auto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28"/>
        </w:rPr>
        <w:t>党的</w:t>
      </w:r>
      <w:r>
        <w:rPr>
          <w:rFonts w:hint="eastAsia" w:ascii="仿宋" w:hAnsi="仿宋" w:eastAsia="仿宋" w:cs="仿宋"/>
          <w:color w:val="auto"/>
          <w:sz w:val="32"/>
          <w:szCs w:val="28"/>
          <w:lang w:val="en-US" w:eastAsia="zh-CN"/>
        </w:rPr>
        <w:t>二十</w:t>
      </w:r>
      <w:r>
        <w:rPr>
          <w:rFonts w:hint="eastAsia" w:ascii="仿宋" w:hAnsi="仿宋" w:eastAsia="仿宋" w:cs="仿宋"/>
          <w:color w:val="auto"/>
          <w:sz w:val="32"/>
          <w:szCs w:val="28"/>
        </w:rPr>
        <w:t>大报告提出</w:t>
      </w:r>
      <w:r>
        <w:rPr>
          <w:rFonts w:hint="eastAsia" w:ascii="仿宋" w:hAnsi="仿宋" w:eastAsia="仿宋" w:cs="仿宋"/>
          <w:color w:val="auto"/>
          <w:sz w:val="32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28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</w:rPr>
        <w:t>全面推进乡村振兴，加快建设农业强国，扎实推动乡村产业、人才、文化、生态、组织振兴。全方位夯实粮食安全根基，全面落实粮食安全党政同责，牢牢守住十八亿亩耕地红线，逐步把永久基本农田全部建成高标准农田</w:t>
      </w:r>
      <w:r>
        <w:rPr>
          <w:rFonts w:hint="eastAsia" w:ascii="仿宋" w:hAnsi="仿宋" w:eastAsia="仿宋" w:cs="仿宋"/>
          <w:color w:val="auto"/>
          <w:sz w:val="32"/>
          <w:szCs w:val="28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</w:rPr>
        <w:t>20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</w:rPr>
        <w:t>年中央一号文件</w:t>
      </w:r>
      <w:r>
        <w:rPr>
          <w:rFonts w:hint="eastAsia" w:ascii="仿宋" w:hAnsi="仿宋" w:eastAsia="仿宋" w:cs="仿宋"/>
          <w:color w:val="auto"/>
          <w:sz w:val="32"/>
          <w:szCs w:val="28"/>
        </w:rPr>
        <w:t>《中共中央国务院关于做好2022年全面推进乡村振兴重点工作的意见》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</w:rPr>
        <w:t>也指出：“研究制定增加农田灌溉面积的规划。实施重点水源和重大引调水等水资源配置工程。加大大中型灌区续建配套与改造力度，在水土资源条件适宜地区规划新建一批现代化灌区，优先将大中型灌区建成高标准农田。”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28"/>
        </w:rPr>
        <w:t>浙江省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28"/>
          <w:lang w:eastAsia="zh-CN"/>
        </w:rPr>
        <w:t>第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28"/>
        </w:rPr>
        <w:t>十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28"/>
        </w:rPr>
        <w:t>次党代会报告指出：“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</w:rPr>
        <w:t>深入实施以人为核心的新型城镇化战略和乡村振兴战略，加快农业农村现代化，落实最严格的耕地保护政策，坚决遏制耕地“非农化”、防止基本农田“非粮化”，全力打好粮食安全保卫战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</w:rPr>
        <w:t>大力推进全域土地综合整治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  <w:lang w:eastAsia="zh-CN"/>
        </w:rPr>
        <w:t>，全域建设幸福河湖</w:t>
      </w:r>
      <w:r>
        <w:rPr>
          <w:rFonts w:hint="eastAsia" w:ascii="仿宋" w:hAnsi="仿宋" w:eastAsia="仿宋" w:cs="仿宋"/>
          <w:color w:val="auto"/>
          <w:kern w:val="2"/>
          <w:sz w:val="32"/>
          <w:szCs w:val="28"/>
        </w:rPr>
        <w:t>。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28"/>
        </w:rPr>
        <w:t>因此，大力发展农</w:t>
      </w:r>
      <w:r>
        <w:rPr>
          <w:rFonts w:hint="eastAsia" w:ascii="仿宋" w:hAnsi="仿宋" w:eastAsia="仿宋" w:cs="仿宋"/>
          <w:color w:val="auto"/>
          <w:sz w:val="32"/>
          <w:szCs w:val="28"/>
          <w:lang w:val="en-US" w:eastAsia="zh-CN"/>
        </w:rPr>
        <w:t>田</w:t>
      </w:r>
      <w:r>
        <w:rPr>
          <w:rFonts w:hint="eastAsia" w:ascii="仿宋" w:hAnsi="仿宋" w:eastAsia="仿宋" w:cs="仿宋"/>
          <w:color w:val="auto"/>
          <w:sz w:val="32"/>
          <w:szCs w:val="28"/>
        </w:rPr>
        <w:t>灌溉是落实上述一系列政策文件精神的重要举措。结合我</w:t>
      </w:r>
      <w:r>
        <w:rPr>
          <w:rFonts w:hint="eastAsia" w:ascii="仿宋" w:hAnsi="仿宋" w:eastAsia="仿宋" w:cs="仿宋"/>
          <w:color w:val="auto"/>
          <w:sz w:val="32"/>
          <w:szCs w:val="28"/>
          <w:lang w:val="en-US" w:eastAsia="zh-CN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28"/>
        </w:rPr>
        <w:t>实际，大力发展农业灌溉具有如下几方面的需求。</w:t>
      </w:r>
    </w:p>
    <w:p>
      <w:pPr>
        <w:widowControl/>
        <w:bidi w:val="0"/>
        <w:spacing w:line="360" w:lineRule="auto"/>
        <w:ind w:firstLine="650" w:firstLineChars="200"/>
        <w:jc w:val="both"/>
        <w:outlineLvl w:val="9"/>
        <w:rPr>
          <w:rFonts w:hint="default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eastAsia="仿宋"/>
          <w:b/>
          <w:bCs/>
          <w:spacing w:val="2"/>
          <w:kern w:val="0"/>
          <w:sz w:val="32"/>
          <w:szCs w:val="32"/>
          <w:highlight w:val="none"/>
        </w:rPr>
        <w:t>（</w:t>
      </w:r>
      <w:r>
        <w:rPr>
          <w:rFonts w:hint="default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eastAsia="仿宋"/>
          <w:b/>
          <w:bCs/>
          <w:spacing w:val="2"/>
          <w:kern w:val="0"/>
          <w:sz w:val="32"/>
          <w:szCs w:val="32"/>
          <w:highlight w:val="none"/>
        </w:rPr>
        <w:t>）</w:t>
      </w:r>
      <w:r>
        <w:rPr>
          <w:rFonts w:hint="eastAsia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是</w:t>
      </w:r>
      <w:r>
        <w:rPr>
          <w:rFonts w:eastAsia="仿宋"/>
          <w:b/>
          <w:bCs/>
          <w:spacing w:val="2"/>
          <w:kern w:val="0"/>
          <w:sz w:val="32"/>
          <w:szCs w:val="32"/>
          <w:highlight w:val="none"/>
        </w:rPr>
        <w:t>全面提升</w:t>
      </w:r>
      <w:r>
        <w:rPr>
          <w:rFonts w:hint="eastAsia" w:ascii="Times New Roman" w:hAnsi="Times New Roman" w:eastAsia="仿宋" w:cs="Times New Roman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粮食</w:t>
      </w:r>
      <w:r>
        <w:rPr>
          <w:rFonts w:eastAsia="仿宋"/>
          <w:b/>
          <w:bCs/>
          <w:spacing w:val="2"/>
          <w:kern w:val="0"/>
          <w:sz w:val="32"/>
          <w:szCs w:val="32"/>
          <w:highlight w:val="none"/>
        </w:rPr>
        <w:t>综合保障能力</w:t>
      </w:r>
      <w:r>
        <w:rPr>
          <w:rFonts w:hint="eastAsia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的客观需要</w:t>
      </w:r>
    </w:p>
    <w:p>
      <w:pPr>
        <w:widowControl/>
        <w:bidi w:val="0"/>
        <w:spacing w:line="360" w:lineRule="auto"/>
        <w:ind w:firstLine="648" w:firstLineChars="200"/>
        <w:jc w:val="both"/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eastAsia="仿宋"/>
          <w:spacing w:val="2"/>
          <w:kern w:val="0"/>
          <w:sz w:val="32"/>
          <w:szCs w:val="32"/>
          <w:highlight w:val="none"/>
        </w:rPr>
        <w:t>按照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</w:rPr>
        <w:t>确保粮食播种面积、产量只增不减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eastAsia="zh-CN"/>
        </w:rPr>
        <w:t>”</w:t>
      </w:r>
      <w:r>
        <w:rPr>
          <w:rFonts w:eastAsia="仿宋"/>
          <w:spacing w:val="2"/>
          <w:kern w:val="0"/>
          <w:sz w:val="32"/>
          <w:szCs w:val="32"/>
          <w:highlight w:val="none"/>
        </w:rPr>
        <w:t>的目标要求</w:t>
      </w:r>
      <w:r>
        <w:rPr>
          <w:rFonts w:hint="eastAsia" w:eastAsia="仿宋"/>
          <w:spacing w:val="2"/>
          <w:kern w:val="0"/>
          <w:sz w:val="32"/>
          <w:szCs w:val="32"/>
          <w:highlight w:val="none"/>
          <w:lang w:val="en-US" w:eastAsia="zh-CN"/>
        </w:rPr>
        <w:t>和“稳粮增效、水旱并举”发展思路</w:t>
      </w:r>
      <w:r>
        <w:rPr>
          <w:rFonts w:eastAsia="仿宋"/>
          <w:spacing w:val="2"/>
          <w:kern w:val="0"/>
          <w:sz w:val="32"/>
          <w:szCs w:val="32"/>
          <w:highlight w:val="none"/>
        </w:rPr>
        <w:t>，</w:t>
      </w:r>
      <w:r>
        <w:rPr>
          <w:rFonts w:hint="eastAsia" w:eastAsia="仿宋"/>
          <w:spacing w:val="2"/>
          <w:kern w:val="0"/>
          <w:sz w:val="32"/>
          <w:szCs w:val="32"/>
          <w:highlight w:val="none"/>
          <w:lang w:val="en-US" w:eastAsia="zh-CN"/>
        </w:rPr>
        <w:t>全市</w:t>
      </w:r>
      <w:r>
        <w:rPr>
          <w:rFonts w:hint="eastAsia" w:ascii="Times New Roman" w:hAnsi="Times New Roman" w:eastAsia="仿宋" w:cs="Times New Roman"/>
          <w:spacing w:val="2"/>
          <w:kern w:val="0"/>
          <w:sz w:val="32"/>
          <w:szCs w:val="32"/>
          <w:highlight w:val="none"/>
          <w:lang w:val="en-US" w:eastAsia="zh-CN"/>
        </w:rPr>
        <w:t>粮食播种面积和产量保持稳定，粮食综合生产能力达到145.5万吨</w:t>
      </w:r>
      <w:r>
        <w:rPr>
          <w:rFonts w:hint="eastAsia" w:eastAsia="仿宋" w:cs="Times New Roman"/>
          <w:spacing w:val="2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spacing w:val="2"/>
          <w:kern w:val="0"/>
          <w:sz w:val="32"/>
          <w:szCs w:val="32"/>
          <w:highlight w:val="none"/>
          <w:lang w:val="en-US" w:eastAsia="zh-CN"/>
        </w:rPr>
        <w:t>粮食生产功能区稳定在74.51万亩以上</w:t>
      </w:r>
      <w:r>
        <w:rPr>
          <w:rFonts w:eastAsia="仿宋"/>
          <w:spacing w:val="2"/>
          <w:kern w:val="0"/>
          <w:sz w:val="32"/>
          <w:szCs w:val="32"/>
          <w:highlight w:val="none"/>
        </w:rPr>
        <w:t>。</w:t>
      </w:r>
      <w:r>
        <w:rPr>
          <w:rFonts w:hint="eastAsia" w:eastAsia="仿宋"/>
          <w:spacing w:val="2"/>
          <w:kern w:val="0"/>
          <w:sz w:val="32"/>
          <w:szCs w:val="32"/>
          <w:highlight w:val="none"/>
          <w:lang w:val="en-US" w:eastAsia="zh-CN"/>
        </w:rPr>
        <w:t>台州市现状灌溉面积216.52万亩，其中耕地灌溉面积181.39 万亩，到2035年灌溉面积将达到237.08 万亩，其中耕地灌溉面积达到191.70 万亩。现状水源工程供水能力仍存在一定缺口，为满足未来灌溉面积发展需求，一方面要推进灌溉水源工程建设，另一方面也要加大灌区节水改造力度，提升水源保障水平。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为满足以上粮油作物的种植面积和产量目标，农田灌溉发展不仅需要考虑</w:t>
      </w:r>
      <w:r>
        <w:rPr>
          <w:rFonts w:eastAsia="仿宋"/>
          <w:spacing w:val="2"/>
          <w:kern w:val="0"/>
          <w:sz w:val="32"/>
          <w:szCs w:val="32"/>
          <w:highlight w:val="none"/>
        </w:rPr>
        <w:t>耕地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</w:rPr>
        <w:t>非粮化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整治要求，保证粮油作物处在耕地使用优先序前列；还需要考虑到水稻是农业灌溉用水大户，为其生长提供必要水资源支撑。</w:t>
      </w:r>
    </w:p>
    <w:p>
      <w:pPr>
        <w:widowControl/>
        <w:numPr>
          <w:ilvl w:val="-1"/>
          <w:numId w:val="0"/>
        </w:numPr>
        <w:bidi w:val="0"/>
        <w:spacing w:line="360" w:lineRule="auto"/>
        <w:ind w:firstLine="650" w:firstLineChars="200"/>
        <w:jc w:val="both"/>
        <w:outlineLvl w:val="9"/>
        <w:rPr>
          <w:rFonts w:hint="default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/>
          <w:b/>
          <w:bCs/>
          <w:spacing w:val="2"/>
          <w:kern w:val="0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eastAsia" w:eastAsia="仿宋"/>
          <w:b/>
          <w:bCs/>
          <w:spacing w:val="2"/>
          <w:kern w:val="0"/>
          <w:sz w:val="32"/>
          <w:szCs w:val="32"/>
          <w:highlight w:val="none"/>
          <w:lang w:val="en-US" w:eastAsia="zh-CN" w:bidi="ar-SA"/>
        </w:rPr>
        <w:t>是</w:t>
      </w:r>
      <w:r>
        <w:rPr>
          <w:rFonts w:hint="default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推进重要农产品保供</w:t>
      </w:r>
      <w:r>
        <w:rPr>
          <w:rFonts w:hint="eastAsia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的客观需要</w:t>
      </w:r>
    </w:p>
    <w:p>
      <w:pPr>
        <w:widowControl/>
        <w:bidi w:val="0"/>
        <w:spacing w:line="360" w:lineRule="auto"/>
        <w:ind w:firstLine="648" w:firstLineChars="200"/>
        <w:jc w:val="both"/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/>
          <w:spacing w:val="2"/>
          <w:kern w:val="0"/>
          <w:sz w:val="32"/>
          <w:szCs w:val="32"/>
          <w:highlight w:val="none"/>
          <w:lang w:val="en-US" w:eastAsia="zh-CN"/>
        </w:rPr>
        <w:t>台州市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重视增强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val="en-US" w:eastAsia="zh-CN"/>
        </w:rPr>
        <w:t>“菜篮子”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保供能力，</w:t>
      </w:r>
      <w:r>
        <w:rPr>
          <w:rFonts w:hint="eastAsia" w:eastAsia="仿宋"/>
          <w:spacing w:val="2"/>
          <w:kern w:val="0"/>
          <w:sz w:val="32"/>
          <w:szCs w:val="32"/>
          <w:highlight w:val="none"/>
        </w:rPr>
        <w:t>全市蔬菜瓜果播种面积保持在120万亩以上，总产量240万吨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Times New Roman"/>
          <w:spacing w:val="2"/>
          <w:kern w:val="0"/>
          <w:sz w:val="32"/>
          <w:szCs w:val="32"/>
          <w:highlight w:val="none"/>
          <w:lang w:val="en-US" w:eastAsia="zh-CN"/>
        </w:rPr>
        <w:t>同时，</w:t>
      </w:r>
      <w:r>
        <w:rPr>
          <w:rFonts w:hint="default" w:eastAsia="仿宋"/>
          <w:spacing w:val="2"/>
          <w:kern w:val="0"/>
          <w:sz w:val="32"/>
          <w:szCs w:val="32"/>
          <w:highlight w:val="none"/>
        </w:rPr>
        <w:t>根据资源禀赋、产业基础和消费市场细分，发展特色蔬菜、名优茶叶、精品水果、优质菌菇、道地中药材、水产品等特色优势产品</w:t>
      </w:r>
      <w:r>
        <w:rPr>
          <w:rFonts w:hint="eastAsia" w:eastAsia="仿宋"/>
          <w:spacing w:val="2"/>
          <w:kern w:val="0"/>
          <w:sz w:val="32"/>
          <w:szCs w:val="32"/>
          <w:highlight w:val="none"/>
          <w:lang w:eastAsia="zh-CN"/>
        </w:rPr>
        <w:t>，稳定杨梅、葡萄、枇杷、桃和黄岩本地早、玉环文旦、临海早大梅等地方特色品种面积。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为推进</w:t>
      </w:r>
      <w:r>
        <w:rPr>
          <w:rFonts w:hint="default" w:ascii="Times New Roman" w:hAnsi="Times New Roman" w:eastAsia="仿宋" w:cs="Times New Roman"/>
          <w:spacing w:val="2"/>
          <w:kern w:val="0"/>
          <w:sz w:val="32"/>
          <w:szCs w:val="32"/>
          <w:highlight w:val="none"/>
          <w:lang w:val="en-US" w:eastAsia="zh-CN"/>
        </w:rPr>
        <w:t>农业供给侧结构性改革，实现特色农产品</w:t>
      </w:r>
      <w:r>
        <w:rPr>
          <w:rFonts w:eastAsia="仿宋"/>
          <w:spacing w:val="2"/>
          <w:kern w:val="0"/>
          <w:sz w:val="32"/>
          <w:szCs w:val="32"/>
          <w:highlight w:val="none"/>
        </w:rPr>
        <w:t>在质量、效益、规模上达到</w:t>
      </w:r>
      <w:r>
        <w:rPr>
          <w:rFonts w:hint="eastAsia" w:ascii="Times New Roman" w:hAnsi="Times New Roman" w:eastAsia="仿宋" w:cs="Times New Roman"/>
          <w:spacing w:val="2"/>
          <w:kern w:val="0"/>
          <w:sz w:val="32"/>
          <w:szCs w:val="32"/>
          <w:highlight w:val="none"/>
          <w:lang w:val="en-US" w:eastAsia="zh-CN"/>
        </w:rPr>
        <w:t>过</w:t>
      </w:r>
      <w:r>
        <w:rPr>
          <w:rFonts w:eastAsia="仿宋"/>
          <w:spacing w:val="2"/>
          <w:kern w:val="0"/>
          <w:sz w:val="32"/>
          <w:szCs w:val="32"/>
          <w:highlight w:val="none"/>
        </w:rPr>
        <w:t>内先进水平</w:t>
      </w:r>
      <w:r>
        <w:rPr>
          <w:rFonts w:hint="default" w:ascii="Times New Roman" w:hAnsi="Times New Roman" w:eastAsia="仿宋" w:cs="Times New Roman"/>
          <w:spacing w:val="2"/>
          <w:kern w:val="0"/>
          <w:sz w:val="32"/>
          <w:szCs w:val="32"/>
          <w:highlight w:val="none"/>
          <w:lang w:val="en-US" w:eastAsia="zh-CN"/>
        </w:rPr>
        <w:t>，农田灌溉发展一方面要为打造重要农产品尤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其是特色农产品优势区</w:t>
      </w:r>
      <w:r>
        <w:rPr>
          <w:rFonts w:eastAsia="仿宋"/>
          <w:spacing w:val="2"/>
          <w:kern w:val="0"/>
          <w:sz w:val="32"/>
          <w:szCs w:val="32"/>
          <w:highlight w:val="none"/>
        </w:rPr>
        <w:t>，扩大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其</w:t>
      </w:r>
      <w:r>
        <w:rPr>
          <w:rFonts w:eastAsia="仿宋"/>
          <w:spacing w:val="2"/>
          <w:kern w:val="0"/>
          <w:sz w:val="32"/>
          <w:szCs w:val="32"/>
          <w:highlight w:val="none"/>
        </w:rPr>
        <w:t>种植规模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留足空间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另一方面要保障数量供给的同时，注重农产品质量和食品安全，提高对水土资源生态安全的重视。</w:t>
      </w:r>
    </w:p>
    <w:p>
      <w:pPr>
        <w:widowControl/>
        <w:bidi w:val="0"/>
        <w:spacing w:line="360" w:lineRule="auto"/>
        <w:ind w:firstLine="650" w:firstLineChars="200"/>
        <w:jc w:val="both"/>
        <w:outlineLvl w:val="9"/>
        <w:rPr>
          <w:rFonts w:hint="default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是</w:t>
      </w:r>
      <w:r>
        <w:rPr>
          <w:rFonts w:hint="default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推进</w:t>
      </w:r>
      <w:r>
        <w:rPr>
          <w:rFonts w:hint="eastAsia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农业</w:t>
      </w:r>
      <w:r>
        <w:rPr>
          <w:rFonts w:hint="eastAsia" w:ascii="Times New Roman" w:hAnsi="Times New Roman" w:eastAsia="仿宋" w:cs="Times New Roman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双强</w:t>
      </w:r>
      <w:r>
        <w:rPr>
          <w:rFonts w:hint="eastAsia" w:ascii="Times New Roman" w:hAnsi="Times New Roman" w:eastAsia="仿宋" w:cs="Times New Roman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行动</w:t>
      </w:r>
      <w:r>
        <w:rPr>
          <w:rFonts w:hint="eastAsia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的客观需要</w:t>
      </w:r>
    </w:p>
    <w:p>
      <w:pPr>
        <w:widowControl/>
        <w:bidi w:val="0"/>
        <w:spacing w:line="360" w:lineRule="auto"/>
        <w:ind w:firstLine="648" w:firstLineChars="200"/>
        <w:jc w:val="both"/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为加快农业高质量发展，促进农业现代化，</w:t>
      </w:r>
      <w:r>
        <w:rPr>
          <w:rFonts w:hint="eastAsia" w:eastAsia="仿宋"/>
          <w:spacing w:val="2"/>
          <w:kern w:val="0"/>
          <w:sz w:val="32"/>
          <w:szCs w:val="32"/>
          <w:highlight w:val="none"/>
          <w:lang w:val="en-US" w:eastAsia="zh-CN"/>
        </w:rPr>
        <w:t>我市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大力推进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val="en-US" w:eastAsia="zh-CN"/>
        </w:rPr>
        <w:t>双强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行动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eastAsia="仿宋"/>
          <w:spacing w:val="2"/>
          <w:kern w:val="0"/>
          <w:sz w:val="32"/>
          <w:szCs w:val="32"/>
          <w:highlight w:val="none"/>
          <w:lang w:val="en-US" w:eastAsia="zh-CN"/>
        </w:rPr>
        <w:t>实施科技强农，需要基于农田灌溉发展，谋划节水灌溉技术尤其是高效节水灌溉技术应用前景，加强产业示范基地、良种繁育基地建设，为搭建产学研合作平台、开展科研创新活动提供不同尺度下的试验场地，为提高现代农业科技创新能力提供支撑；实施机械强</w:t>
      </w:r>
      <w:r>
        <w:rPr>
          <w:rFonts w:hint="default" w:ascii="Times New Roman" w:hAnsi="Times New Roman" w:eastAsia="仿宋" w:cs="Times New Roman"/>
          <w:spacing w:val="2"/>
          <w:kern w:val="0"/>
          <w:sz w:val="32"/>
          <w:szCs w:val="32"/>
          <w:highlight w:val="none"/>
          <w:lang w:val="en-US" w:eastAsia="zh-CN"/>
        </w:rPr>
        <w:t>农，需要基于农田灌溉发展，建设集中成片的耕地，以便机械化生产，推动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val="en-US" w:eastAsia="zh-CN"/>
        </w:rPr>
        <w:t>“畜牧、水产养殖、设施农业机械化率</w:t>
      </w:r>
      <w:r>
        <w:rPr>
          <w:rFonts w:hint="default" w:ascii="Times New Roman" w:hAnsi="Times New Roman" w:eastAsia="仿宋" w:cs="Times New Roman"/>
          <w:spacing w:val="2"/>
          <w:kern w:val="0"/>
          <w:sz w:val="32"/>
          <w:szCs w:val="32"/>
          <w:highlight w:val="none"/>
          <w:lang w:val="en-US" w:eastAsia="zh-CN"/>
        </w:rPr>
        <w:t>均超过50%，农业科技进步贡献率68%以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val="en-US" w:eastAsia="zh-CN"/>
        </w:rPr>
        <w:t>上”</w:t>
      </w:r>
      <w:r>
        <w:rPr>
          <w:rFonts w:hint="default" w:ascii="Times New Roman" w:hAnsi="Times New Roman" w:eastAsia="仿宋" w:cs="Times New Roman"/>
          <w:spacing w:val="2"/>
          <w:kern w:val="0"/>
          <w:sz w:val="32"/>
          <w:szCs w:val="32"/>
          <w:highlight w:val="none"/>
          <w:lang w:val="en-US" w:eastAsia="zh-CN"/>
        </w:rPr>
        <w:t>目标的实现。</w:t>
      </w:r>
    </w:p>
    <w:p>
      <w:pPr>
        <w:widowControl/>
        <w:spacing w:line="360" w:lineRule="auto"/>
        <w:ind w:firstLine="650" w:firstLineChars="200"/>
        <w:jc w:val="both"/>
        <w:rPr>
          <w:rFonts w:hint="default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eastAsia="仿宋" w:cs="Times New Roman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是助力乡村振兴战略实施</w:t>
      </w:r>
      <w:r>
        <w:rPr>
          <w:rFonts w:hint="eastAsia" w:eastAsia="仿宋"/>
          <w:b/>
          <w:bCs/>
          <w:spacing w:val="2"/>
          <w:kern w:val="0"/>
          <w:sz w:val="32"/>
          <w:szCs w:val="32"/>
          <w:highlight w:val="none"/>
          <w:lang w:val="en-US" w:eastAsia="zh-CN"/>
        </w:rPr>
        <w:t>的客观需要</w:t>
      </w:r>
    </w:p>
    <w:p>
      <w:pPr>
        <w:bidi w:val="0"/>
        <w:jc w:val="both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</w:rPr>
        <w:t>绿色生态已经成为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val="en-US" w:eastAsia="zh-CN"/>
        </w:rPr>
        <w:t>我市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</w:rPr>
        <w:t>靓丽的金名片，随着乡村振兴战略、美丽乡村建设的推进，灌区不仅仅是灌排工程的载体，更将成为生态文明和美丽乡村建设的重要组成部分。灌区续建配套与现代化改造项目的实施，将有效地改善灌区干支渠沿线的生态环境状况，提高沿线居民的人居环境。通过引水入村，增加沿线村民便利性，能进一步发挥灌区在利民、惠民等方面的效益，让广大人民群众有更多的获得感。此外，目前农村水利现状与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val="en-US" w:eastAsia="zh-CN"/>
        </w:rPr>
        <w:t>台州市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</w:rPr>
        <w:t>提出的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  <w:lang w:val="en-US" w:eastAsia="zh-CN"/>
        </w:rPr>
        <w:t>水利现代化先行市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highlight w:val="none"/>
        </w:rPr>
        <w:t>的要求还存在较大差距。因此，开展水生态保护和修复，完善水利基础设施体系，综合治理，是改善灌区生态环境和助推美丽乡村建设的需要</w:t>
      </w:r>
      <w:r>
        <w:rPr>
          <w:rFonts w:hint="eastAsia" w:ascii="仿宋" w:hAnsi="仿宋" w:eastAsia="仿宋" w:cs="仿宋"/>
          <w:sz w:val="32"/>
          <w:szCs w:val="28"/>
        </w:rPr>
        <w:t>。</w:t>
      </w:r>
    </w:p>
    <w:p>
      <w:pPr>
        <w:pStyle w:val="2"/>
        <w:bidi w:val="0"/>
        <w:ind w:firstLine="1124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bidi w:val="0"/>
        <w:ind w:firstLine="1124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8" w:name="_Toc105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二、灌溉面积与发展潜力</w:t>
      </w:r>
      <w:bookmarkEnd w:id="8"/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9" w:name="_Toc31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（一）现状灌溉面积</w:t>
      </w:r>
      <w:bookmarkEnd w:id="9"/>
    </w:p>
    <w:p>
      <w:pPr>
        <w:bidi w:val="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根据各县（市、区）上报数据汇总处理分析，全市灌溉面积216.52万亩，其中耕地灌溉面积181.39万亩，林果草灌溉面积35.13万亩。高标准农田面积192.21万亩，高标准农田中的灌溉面积154.01万亩。全市节水灌溉工程面积121.17万亩，其中高效节水灌溉工程面积21.99万亩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10" w:name="_Toc30119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（二）灌溉面积增长潜力</w:t>
      </w:r>
      <w:bookmarkEnd w:id="10"/>
    </w:p>
    <w:p>
      <w:pPr>
        <w:bidi w:val="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全市可发展灌溉土地主要有四种来源，一是</w:t>
      </w:r>
      <w:r>
        <w:rPr>
          <w:rFonts w:hint="eastAsia" w:ascii="仿宋" w:hAnsi="仿宋" w:eastAsia="仿宋" w:cs="仿宋"/>
          <w:sz w:val="32"/>
          <w:szCs w:val="28"/>
        </w:rPr>
        <w:t>现状不可灌溉的旱地，尤其是永久基本农田中的旱地，未来需作为灌溉面积增长的潜力重点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此类增长潜力为10.81万亩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28"/>
        </w:rPr>
        <w:t>耕地后备资源（荒土地、裸土地、草地、盐碱地四类转换可为耕地的）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此类增长潜力为2.83万亩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三是补充耕地，</w:t>
      </w:r>
      <w:r>
        <w:rPr>
          <w:rFonts w:hint="eastAsia" w:ascii="仿宋" w:hAnsi="仿宋" w:eastAsia="仿宋" w:cs="仿宋"/>
          <w:sz w:val="32"/>
          <w:szCs w:val="28"/>
        </w:rPr>
        <w:t>主要为宜耕后备资源开发、永久基本农田集中连片整治、建设及低效用地复垦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此类增长潜力为2.00万亩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28"/>
        </w:rPr>
        <w:t>未来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特色</w:t>
      </w:r>
      <w:r>
        <w:rPr>
          <w:rFonts w:hint="eastAsia" w:ascii="仿宋" w:hAnsi="仿宋" w:eastAsia="仿宋" w:cs="仿宋"/>
          <w:sz w:val="32"/>
          <w:szCs w:val="28"/>
        </w:rPr>
        <w:t>产业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发展</w:t>
      </w:r>
      <w:r>
        <w:rPr>
          <w:rFonts w:hint="eastAsia" w:ascii="仿宋" w:hAnsi="仿宋" w:eastAsia="仿宋" w:cs="仿宋"/>
          <w:sz w:val="32"/>
          <w:szCs w:val="28"/>
        </w:rPr>
        <w:t>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28"/>
        </w:rPr>
        <w:t>精品水果、绿色有机茶、特色中药材等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</w:rPr>
        <w:t>对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林</w:t>
      </w:r>
      <w:r>
        <w:rPr>
          <w:rFonts w:hint="eastAsia" w:ascii="仿宋" w:hAnsi="仿宋" w:eastAsia="仿宋" w:cs="仿宋"/>
          <w:sz w:val="32"/>
          <w:szCs w:val="28"/>
        </w:rPr>
        <w:t>园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草</w:t>
      </w:r>
      <w:r>
        <w:rPr>
          <w:rFonts w:hint="eastAsia" w:ascii="仿宋" w:hAnsi="仿宋" w:eastAsia="仿宋" w:cs="仿宋"/>
          <w:sz w:val="32"/>
          <w:szCs w:val="28"/>
        </w:rPr>
        <w:t>灌溉能力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增加</w:t>
      </w:r>
      <w:r>
        <w:rPr>
          <w:rFonts w:hint="eastAsia" w:ascii="仿宋" w:hAnsi="仿宋" w:eastAsia="仿宋" w:cs="仿宋"/>
          <w:sz w:val="32"/>
          <w:szCs w:val="28"/>
        </w:rPr>
        <w:t>提出了具体需求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经汇总，此类需求为10.38万亩。以上四类增长潜力，至规划年台州市灌溉面积增长潜力合计26.02万亩，其中耕地灌溉面积增长潜力15.64万亩。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11" w:name="_Toc22459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（三）灌溉面积减少可能性分析</w:t>
      </w:r>
      <w:bookmarkEnd w:id="11"/>
    </w:p>
    <w:p>
      <w:pPr>
        <w:bidi w:val="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根据第三次全国国土调查成果（2021年变更）、“三区三线”等成果，结合各县（市、区）实际，考虑将城镇开发边界、生态保护红线内灌溉面积逐步退出。经拓扑分析，至规划年台州市预计将减少灌溉面积5.46万亩，其中耕地灌溉面积5.33万亩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12" w:name="_Toc18298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（四）灌溉发展规模</w:t>
      </w:r>
      <w:bookmarkEnd w:id="12"/>
    </w:p>
    <w:p>
      <w:pPr>
        <w:bidi w:val="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台州市现有灌溉面积216.52万亩，其中，耕地灌溉面积181.39万亩。到规划水平年2035年，灌溉面积将达到237.08万亩，其中，耕地灌溉面积191.70万亩。</w:t>
      </w:r>
    </w:p>
    <w:p>
      <w:pPr>
        <w:bidi w:val="0"/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表1  规划年各县（市、区）灌溉面积发展方案  单位：万亩</w:t>
      </w:r>
    </w:p>
    <w:tbl>
      <w:tblPr>
        <w:tblStyle w:val="13"/>
        <w:tblW w:w="47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90"/>
        <w:gridCol w:w="1545"/>
        <w:gridCol w:w="1650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2021年</w:t>
            </w:r>
          </w:p>
        </w:tc>
        <w:tc>
          <w:tcPr>
            <w:tcW w:w="319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2022-2035年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2035年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灌溉面积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减少灌溉面积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新增灌溉面积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规划灌溉面积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216.52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26.02 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1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237.08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椒江区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12.89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黄岩区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18.73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路桥区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临海市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49.47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温岭市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34.89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3.93 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玉环市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9.06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天台县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27.99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仙居县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31.17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4.64 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三门县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19.04 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4.25 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23.12 </w:t>
            </w:r>
          </w:p>
        </w:tc>
      </w:tr>
    </w:tbl>
    <w:p>
      <w:pPr>
        <w:pStyle w:val="2"/>
        <w:bidi w:val="0"/>
        <w:ind w:firstLine="1124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bidi w:val="0"/>
        <w:ind w:firstLine="1124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13" w:name="_Toc31166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三、规划目标与总体布局</w:t>
      </w:r>
      <w:bookmarkEnd w:id="13"/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14" w:name="_Toc21533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（一）指导思想</w:t>
      </w:r>
      <w:bookmarkEnd w:id="14"/>
    </w:p>
    <w:p>
      <w:pPr>
        <w:bidi w:val="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以习近平新时代中国特色社会主义思想为指导，深入贯彻落实党的二十大精神关于“全面推进乡村振兴”的重大战略部署，坚持“十六字”治水思路，围绕保障粮食安全、水安全、生态安全，全面推进乡村振兴与共同富裕，以争创社会主义现代化先行市为战略牵引，以建设新时代民营经济高质量发展强市为总目标，以重构水安澜、水资源、水生态、水城市、水管理等“五大格局”为主线，以水土资源平衡为基础，以全面提高农田灌排保障能力为重点，以综合立体、安全美丽的台州现代水网建设为依托，以高标准农田产能提升和绿色发展相协调，以体制机制创新与数字化改革为动力，构建适应于高质量发展的现代化农田灌排体系，全面夯实粮食安全和农业现代化的水利基础，逐步实现水利高质量发展，争创水利现代化先行市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15" w:name="_Toc20591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（二）基本原则</w:t>
      </w:r>
      <w:bookmarkEnd w:id="15"/>
    </w:p>
    <w:p>
      <w:pPr>
        <w:bidi w:val="0"/>
        <w:rPr>
          <w:rFonts w:hint="eastAsia" w:ascii="仿宋" w:hAnsi="仿宋" w:eastAsia="仿宋" w:cs="仿宋"/>
          <w:b w:val="0"/>
          <w:bCs w:val="0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eastAsia="zh-CN"/>
        </w:rPr>
        <w:t>坚持战略导向、强化支撑。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eastAsia="zh-CN"/>
        </w:rPr>
        <w:t>聚焦国家粮食安全和重要农产品保障战略，充分挖掘改善灌溉条件和增加农田灌溉面积潜力，夯实粮食安全灌溉基础。</w:t>
      </w:r>
    </w:p>
    <w:p>
      <w:pPr>
        <w:bidi w:val="0"/>
        <w:rPr>
          <w:rFonts w:hint="eastAsia" w:ascii="仿宋" w:hAnsi="仿宋" w:eastAsia="仿宋" w:cs="仿宋"/>
          <w:b w:val="0"/>
          <w:bCs w:val="0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eastAsia="zh-CN"/>
        </w:rPr>
        <w:t>坚持节水优先、高效利用。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eastAsia="zh-CN"/>
        </w:rPr>
        <w:t>把节水作为拓展灌溉发展空间的基础，强化农业节水增效，大力发展高效节水灌溉，全力提高灌溉用水的节约集约利用水平。</w:t>
      </w:r>
    </w:p>
    <w:p>
      <w:pPr>
        <w:bidi w:val="0"/>
        <w:rPr>
          <w:rFonts w:hint="eastAsia" w:ascii="仿宋" w:hAnsi="仿宋" w:eastAsia="仿宋" w:cs="仿宋"/>
          <w:b w:val="0"/>
          <w:bCs w:val="0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eastAsia="zh-CN"/>
        </w:rPr>
        <w:t>坚持水土平衡，科学布局。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eastAsia="zh-CN"/>
        </w:rPr>
        <w:t>强化水资源刚性约束，统筹考虑灌溉发展需求、水土资源条件，坚持量水而行、以水定地、水土平衡，科学确定灌溉发展规模及布局。</w:t>
      </w:r>
    </w:p>
    <w:p>
      <w:pPr>
        <w:bidi w:val="0"/>
        <w:rPr>
          <w:rFonts w:hint="eastAsia" w:ascii="仿宋" w:hAnsi="仿宋" w:eastAsia="仿宋" w:cs="仿宋"/>
          <w:b w:val="0"/>
          <w:bCs w:val="0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eastAsia="zh-CN"/>
        </w:rPr>
        <w:t>坚持全面规划、统筹推进。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eastAsia="zh-CN"/>
        </w:rPr>
        <w:t>坚持水源与灌区、改造与新建、骨干与田间、建设与管理等全面规划，统筹灌溉发展与生态环境保护，推进绿色发展。</w:t>
      </w:r>
    </w:p>
    <w:p>
      <w:pPr>
        <w:bidi w:val="0"/>
        <w:rPr>
          <w:rFonts w:hint="eastAsia" w:ascii="仿宋" w:hAnsi="仿宋" w:eastAsia="仿宋" w:cs="仿宋"/>
          <w:b w:val="0"/>
          <w:bCs w:val="0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eastAsia="zh-CN"/>
        </w:rPr>
        <w:t>坚持创新驱动、持续发展。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eastAsia="zh-CN"/>
        </w:rPr>
        <w:t>强化体制机制制度科技创新，不断激发灌溉发展活力。全生命周期贯彻智慧水利理念，加快完善灌溉管理体系，提升灌溉管理能力。</w:t>
      </w:r>
    </w:p>
    <w:p>
      <w:pPr>
        <w:bidi w:val="0"/>
        <w:rPr>
          <w:rFonts w:hint="eastAsia" w:ascii="仿宋" w:hAnsi="仿宋" w:eastAsia="仿宋" w:cs="仿宋"/>
          <w:b w:val="0"/>
          <w:bCs w:val="0"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eastAsia="zh-CN"/>
        </w:rPr>
        <w:t>坚持多规融合、协同推进。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eastAsia="zh-CN"/>
        </w:rPr>
        <w:t>坚持水土田粮生统筹，加强与国民经济和社会发展规划、国土空间规划、农业农村现代化规划、粮食及农产品布局规划、高标准农田建设规划等规划的协调衔接。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16" w:name="_Toc23644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（三）规划目标</w:t>
      </w:r>
      <w:bookmarkEnd w:id="16"/>
    </w:p>
    <w:p>
      <w:pPr>
        <w:bidi w:val="0"/>
        <w:rPr>
          <w:rFonts w:hint="eastAsia" w:ascii="仿宋" w:hAnsi="仿宋" w:eastAsia="仿宋" w:cs="仿宋"/>
          <w:sz w:val="32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28"/>
          <w:lang w:val="zh-CN"/>
        </w:rPr>
        <w:t>围绕浙江“两个先行”目标，基于台州市水土资源禀赋和社会经济发展条件，按照“设施完善、技术先进、管理科学、用水高效、生态良好、保障有力、富民惠民”的现代化灌排体系要求，以水安全、粮食安全、生态安全为核心，构建安全可靠的水资源保障体系、稳粮增收的灌溉面积保障体系、完备齐全的工程设施体系、智慧先进的现代化管理体系，从而形成系统完善的农田灌溉发展格局，助力台州市实现水利高质量发展，争创水利现代化先行市。</w:t>
      </w:r>
    </w:p>
    <w:p>
      <w:pPr>
        <w:bidi w:val="0"/>
        <w:rPr>
          <w:rFonts w:hint="eastAsia" w:ascii="仿宋" w:hAnsi="仿宋" w:eastAsia="仿宋" w:cs="仿宋"/>
          <w:b/>
          <w:bCs/>
          <w:sz w:val="32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zh-CN"/>
        </w:rPr>
        <w:t>——构建安全可靠的水资源保障体系</w:t>
      </w:r>
    </w:p>
    <w:p>
      <w:pPr>
        <w:bidi w:val="0"/>
        <w:rPr>
          <w:rFonts w:hint="eastAsia" w:ascii="仿宋" w:hAnsi="仿宋" w:eastAsia="仿宋" w:cs="仿宋"/>
          <w:sz w:val="32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28"/>
          <w:lang w:val="zh-CN"/>
        </w:rPr>
        <w:t>合理配置水资源，完善水源体系建设，建立互联互通的水资源配置网络，充分满足经济社会和生态环境协调发展对水资源在时间、空间、数量和质量上的要求，使农田灌溉用水得到充分保障。至2035年，能够满足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10.25亿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m</w:t>
      </w:r>
      <w:r>
        <w:rPr>
          <w:rFonts w:hint="eastAsia" w:ascii="仿宋" w:hAnsi="仿宋" w:eastAsia="仿宋" w:cs="仿宋"/>
          <w:sz w:val="32"/>
          <w:szCs w:val="28"/>
          <w:vertAlign w:val="superscript"/>
          <w:lang w:val="zh-CN"/>
        </w:rPr>
        <w:t>3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灌溉用水需求，新增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1.43亿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m</w:t>
      </w:r>
      <w:r>
        <w:rPr>
          <w:rFonts w:hint="eastAsia" w:ascii="仿宋" w:hAnsi="仿宋" w:eastAsia="仿宋" w:cs="仿宋"/>
          <w:sz w:val="32"/>
          <w:szCs w:val="28"/>
          <w:vertAlign w:val="superscript"/>
          <w:lang w:val="zh-CN"/>
        </w:rPr>
        <w:t>3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灌溉供水能力。</w:t>
      </w:r>
    </w:p>
    <w:p>
      <w:pPr>
        <w:bidi w:val="0"/>
        <w:rPr>
          <w:rFonts w:hint="eastAsia" w:ascii="仿宋" w:hAnsi="仿宋" w:eastAsia="仿宋" w:cs="仿宋"/>
          <w:b/>
          <w:bCs/>
          <w:sz w:val="32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zh-CN"/>
        </w:rPr>
        <w:t>——构建稳粮增收的灌溉面积保障体系</w:t>
      </w:r>
    </w:p>
    <w:p>
      <w:pPr>
        <w:bidi w:val="0"/>
        <w:rPr>
          <w:rFonts w:hint="eastAsia" w:ascii="仿宋" w:hAnsi="仿宋" w:eastAsia="仿宋" w:cs="仿宋"/>
          <w:sz w:val="32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28"/>
          <w:lang w:val="zh-CN"/>
        </w:rPr>
        <w:t>优先将大中型灌区建成高标准农田，逐步将永久基本农田全部建成高标准农田，以城镇开发边界和生态保护红线为控制，守好耕地红线，夯实粮食安全根基，保证粮食和重要农产品供给持续稳定。至2035年，灌溉面积达237.08万亩，其中，耕地灌溉面积达191.70万亩；高标准农田灌溉面积达192.21万亩；节水灌溉面积达172.34万亩；新增粮食生产能力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5.50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万t。</w:t>
      </w:r>
    </w:p>
    <w:p>
      <w:pPr>
        <w:bidi w:val="0"/>
        <w:rPr>
          <w:rFonts w:hint="eastAsia" w:ascii="仿宋" w:hAnsi="仿宋" w:eastAsia="仿宋" w:cs="仿宋"/>
          <w:b/>
          <w:bCs/>
          <w:sz w:val="32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zh-CN"/>
        </w:rPr>
        <w:t>——构建完备齐全的工程设施体系</w:t>
      </w:r>
    </w:p>
    <w:p>
      <w:pPr>
        <w:bidi w:val="0"/>
        <w:rPr>
          <w:rFonts w:hint="eastAsia" w:ascii="仿宋" w:hAnsi="仿宋" w:eastAsia="仿宋" w:cs="仿宋"/>
          <w:sz w:val="32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28"/>
          <w:lang w:val="zh-CN"/>
        </w:rPr>
        <w:t>深入践行“两山”理念，落实生态文明建设要求，加强大中型灌区续建配套节水改造，统筹推进小型农田水利建设，补齐灌溉环节的工程短板，实现农田水利设施优化升级，让绿水青山造福人民。至2035年，农田灌溉保证率达90%，大中型灌区骨干工程配套率达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95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%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以上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，大中型灌区骨干工程完好率达9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%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以上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，大中型灌区排涝达标率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达95%以上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。</w:t>
      </w:r>
    </w:p>
    <w:p>
      <w:pPr>
        <w:bidi w:val="0"/>
        <w:rPr>
          <w:rFonts w:hint="eastAsia" w:ascii="仿宋" w:hAnsi="仿宋" w:eastAsia="仿宋" w:cs="仿宋"/>
          <w:b/>
          <w:bCs/>
          <w:sz w:val="32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zh-CN"/>
        </w:rPr>
        <w:t>——构建智慧先进的现代化管理体系</w:t>
      </w:r>
    </w:p>
    <w:p>
      <w:pPr>
        <w:bidi w:val="0"/>
        <w:rPr>
          <w:rFonts w:hint="eastAsia" w:ascii="仿宋" w:hAnsi="仿宋" w:eastAsia="仿宋" w:cs="仿宋"/>
          <w:sz w:val="32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28"/>
          <w:lang w:val="zh-CN"/>
        </w:rPr>
        <w:t>完善用水总量控制指标体系，强化对各类终端用户的用水过程监管。坚持“党建引领、业务为本、数字赋能”三位一体统筹发展，不断完善信息化基础设施，进一步深化大中型灌区标准化管理和农业水价综合改革。至2035年，农田灌溉水有效利用系数达0.620，大中型灌区标准化创建率达100%，灌溉用水计量率达80%，大中型灌区智慧化覆盖率达80%。</w:t>
      </w:r>
    </w:p>
    <w:p>
      <w:pPr>
        <w:bidi w:val="0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主要规划指标表</w:t>
      </w:r>
    </w:p>
    <w:tbl>
      <w:tblPr>
        <w:tblStyle w:val="14"/>
        <w:tblW w:w="45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855"/>
        <w:gridCol w:w="2985"/>
        <w:gridCol w:w="1626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类别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指标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2021年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基准值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2035年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水量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目标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灌溉用水量（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6.56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新增灌溉供水能力（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1.43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面积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目标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灌溉面积（万亩）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216.52 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237.08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高标准农田灌溉面积（万亩）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154.01 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192.21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节水灌溉面积（万亩）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121.17 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172.34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工程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目标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农田灌溉保证率（%）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大中型灌区灌溉骨干设施配套率（%）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≥95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大中型灌区灌溉骨干设施完好率（%）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≥9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农田排涝达标率（%）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≥95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管理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目标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农田灌溉水有效利用系数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595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0.6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大中型灌区标准化创建率（%）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灌溉用水计量率（%）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智慧化覆盖率（%）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综合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目标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新增粮食生产能力（万t）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新增灌溉节水能力（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0.62</w:t>
            </w:r>
          </w:p>
        </w:tc>
      </w:tr>
    </w:tbl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17" w:name="_Toc3163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（四）总体布局</w:t>
      </w:r>
      <w:bookmarkEnd w:id="17"/>
    </w:p>
    <w:p>
      <w:pPr>
        <w:bidi w:val="0"/>
        <w:rPr>
          <w:rFonts w:hint="eastAsia" w:ascii="仿宋" w:hAnsi="仿宋" w:eastAsia="仿宋" w:cs="仿宋"/>
          <w:sz w:val="32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28"/>
          <w:lang w:val="zh-CN"/>
        </w:rPr>
        <w:t>按照台州市争创水利现代化先行市的总目标，围绕台州水利重构水安澜、水资源、水生态、水城市、水管理等“五大格局”主线，提出全市农田灌溉发展“一带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区多片四体系”的总体布局。</w:t>
      </w:r>
    </w:p>
    <w:p>
      <w:pPr>
        <w:bidi w:val="0"/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一带：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  <w:t xml:space="preserve">依托沿海县（市、区）多个中型灌区现代化改造项目，打造浙江省东南沿海现代化中型灌区样板示范带； </w:t>
      </w:r>
    </w:p>
    <w:p>
      <w:pPr>
        <w:bidi w:val="0"/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一区：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  <w:t xml:space="preserve">以牛头山水库灌区现代化改造为重点打造1处“和合美丽”的现代化大型灌区； </w:t>
      </w:r>
    </w:p>
    <w:p>
      <w:pPr>
        <w:bidi w:val="0"/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多片：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  <w:t>以其他零散中型灌区和新建2000亩以上小型灌区为重点打造多个“节水数智”的现代化中小型灌区样板。</w:t>
      </w:r>
    </w:p>
    <w:p>
      <w:pPr>
        <w:bidi w:val="0"/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四体系：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  <w:t>“保、通、节、智”四体系，“保”即灌溉水源保障体系、“通”即大中型灌区输配水畅通体系、“节”即小型农田水利与高标准农田“节水”灌排体系、“智”即智慧灌区体系。</w:t>
      </w:r>
    </w:p>
    <w:p>
      <w:pPr>
        <w:pStyle w:val="2"/>
        <w:bidi w:val="0"/>
        <w:ind w:firstLine="1124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bidi w:val="0"/>
        <w:ind w:firstLine="1124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18" w:name="_Toc15801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四、主要建设任务</w:t>
      </w:r>
      <w:bookmarkEnd w:id="18"/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19" w:name="_Toc28546"/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谋划一批农业灌溉水源保障工程</w:t>
      </w:r>
      <w:bookmarkEnd w:id="19"/>
    </w:p>
    <w:p>
      <w:pPr>
        <w:bidi w:val="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  <w:lang w:val="zh-CN"/>
        </w:rPr>
        <w:t>水源工程是灌区灌溉水源的保障，是粮食安全之“源”。对于部分灌区农业灌溉用水不足的，应优先加强水源及渠首工程的建设和改造，增加灌区的可供水量。在现有灌溉水源工程体系的基础上，按照“先挖潜、后新建”“大中小微并举、蓄引提调结合”以及灌溉水量落实到水源工程、水源工程与灌区工程匹配的要求，衔接国土空间规划，进行水源工程谋划。</w:t>
      </w:r>
      <w:r>
        <w:rPr>
          <w:rFonts w:hint="eastAsia" w:ascii="仿宋" w:hAnsi="仿宋" w:eastAsia="仿宋" w:cs="仿宋"/>
          <w:sz w:val="32"/>
          <w:szCs w:val="28"/>
        </w:rPr>
        <w:t>本次全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28"/>
        </w:rPr>
        <w:t>计划新建改造大中型灌溉水源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28"/>
        </w:rPr>
        <w:t>处。</w:t>
      </w:r>
    </w:p>
    <w:p>
      <w:pPr>
        <w:widowControl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专栏一 灌溉水源保障工程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台州南片</w:t>
      </w:r>
      <w:r>
        <w:rPr>
          <w:rFonts w:hint="eastAsia" w:ascii="仿宋" w:hAnsi="仿宋" w:eastAsia="仿宋" w:cs="仿宋"/>
          <w:b/>
          <w:bCs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通</w:t>
      </w:r>
      <w:r>
        <w:rPr>
          <w:rFonts w:hint="eastAsia" w:ascii="仿宋" w:hAnsi="仿宋" w:eastAsia="仿宋" w:cs="仿宋"/>
          <w:b w:val="0"/>
          <w:bCs w:val="0"/>
        </w:rPr>
        <w:t>过</w:t>
      </w:r>
      <w:r>
        <w:rPr>
          <w:rFonts w:hint="eastAsia" w:ascii="仿宋" w:hAnsi="仿宋" w:eastAsia="仿宋" w:cs="仿宋"/>
          <w:lang w:val="en-US" w:eastAsia="zh-CN"/>
        </w:rPr>
        <w:t>新建温岭市湖漫水库引水工程，可有效提升温岭灌区的农田灌溉保障水平</w:t>
      </w:r>
      <w:r>
        <w:rPr>
          <w:rFonts w:hint="eastAsia" w:ascii="仿宋" w:hAnsi="仿宋" w:eastAsia="仿宋" w:cs="仿宋"/>
        </w:rPr>
        <w:t>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bidi w:val="0"/>
        <w:rPr>
          <w:rFonts w:hint="eastAsia" w:ascii="仿宋" w:hAnsi="仿宋" w:eastAsia="仿宋" w:cs="仿宋"/>
        </w:rPr>
      </w:pPr>
      <w:bookmarkStart w:id="20" w:name="OLE_LINK4"/>
      <w:r>
        <w:rPr>
          <w:rFonts w:hint="eastAsia" w:ascii="仿宋" w:hAnsi="仿宋" w:eastAsia="仿宋" w:cs="仿宋"/>
          <w:b/>
          <w:bCs/>
          <w:lang w:val="en-US" w:eastAsia="zh-CN"/>
        </w:rPr>
        <w:t>台州北片</w:t>
      </w:r>
      <w:r>
        <w:rPr>
          <w:rFonts w:hint="eastAsia" w:ascii="仿宋" w:hAnsi="仿宋" w:eastAsia="仿宋" w:cs="仿宋"/>
          <w:b/>
          <w:bCs/>
          <w:lang w:eastAsia="zh-CN"/>
        </w:rPr>
        <w:t>：</w:t>
      </w:r>
      <w:bookmarkEnd w:id="20"/>
      <w:r>
        <w:rPr>
          <w:rFonts w:hint="eastAsia" w:ascii="仿宋" w:hAnsi="仿宋" w:eastAsia="仿宋" w:cs="仿宋"/>
        </w:rPr>
        <w:t>通过</w:t>
      </w:r>
      <w:r>
        <w:rPr>
          <w:rFonts w:hint="eastAsia" w:ascii="仿宋" w:hAnsi="仿宋" w:eastAsia="仿宋" w:cs="仿宋"/>
          <w:lang w:eastAsia="zh-CN"/>
        </w:rPr>
        <w:t>指岩水库、茶园水库、狮子口水库扩建工程、双龙水库扩建工程、里石门水库系统治理工</w:t>
      </w:r>
      <w:r>
        <w:rPr>
          <w:rFonts w:hint="eastAsia" w:ascii="仿宋" w:hAnsi="仿宋" w:eastAsia="仿宋" w:cs="仿宋"/>
          <w:lang w:val="en-US" w:eastAsia="zh-CN"/>
        </w:rPr>
        <w:t>程</w:t>
      </w:r>
      <w:r>
        <w:rPr>
          <w:rFonts w:hint="eastAsia" w:ascii="仿宋" w:hAnsi="仿宋" w:eastAsia="仿宋" w:cs="仿宋"/>
          <w:lang w:eastAsia="zh-CN"/>
        </w:rPr>
        <w:t>、朱溪水库、北岙水库、里林水库扩容挖潜工程、东屏水库、海游港水环境提升工程、清溪水库引水工程、王申坦水库扩建工程</w:t>
      </w:r>
      <w:r>
        <w:rPr>
          <w:rFonts w:hint="eastAsia" w:ascii="仿宋" w:hAnsi="仿宋" w:eastAsia="仿宋" w:cs="仿宋"/>
        </w:rPr>
        <w:t>等蓄</w:t>
      </w:r>
      <w:r>
        <w:rPr>
          <w:rFonts w:hint="eastAsia" w:ascii="仿宋" w:hAnsi="仿宋" w:eastAsia="仿宋" w:cs="仿宋"/>
          <w:lang w:val="en-US" w:eastAsia="zh-CN"/>
        </w:rPr>
        <w:t>引</w:t>
      </w:r>
      <w:r>
        <w:rPr>
          <w:rFonts w:hint="eastAsia" w:ascii="仿宋" w:hAnsi="仿宋" w:eastAsia="仿宋" w:cs="仿宋"/>
        </w:rPr>
        <w:t>水工程，共同保障</w:t>
      </w:r>
      <w:r>
        <w:rPr>
          <w:rFonts w:hint="eastAsia" w:ascii="仿宋" w:hAnsi="仿宋" w:eastAsia="仿宋" w:cs="仿宋"/>
          <w:lang w:val="en-US" w:eastAsia="zh-CN"/>
        </w:rPr>
        <w:t>牛头山水库灌区、下岸灌区、里石门水库灌区、界岭水库灌区、东部灌区</w:t>
      </w:r>
      <w:r>
        <w:rPr>
          <w:rFonts w:hint="eastAsia" w:ascii="仿宋" w:hAnsi="仿宋" w:eastAsia="仿宋" w:cs="仿宋"/>
        </w:rPr>
        <w:t>等</w:t>
      </w:r>
      <w:r>
        <w:rPr>
          <w:rFonts w:hint="eastAsia" w:ascii="仿宋" w:hAnsi="仿宋" w:eastAsia="仿宋" w:cs="仿宋"/>
          <w:lang w:val="en-US" w:eastAsia="zh-CN"/>
        </w:rPr>
        <w:t>10个</w:t>
      </w:r>
      <w:r>
        <w:rPr>
          <w:rFonts w:hint="eastAsia" w:ascii="仿宋" w:hAnsi="仿宋" w:eastAsia="仿宋" w:cs="仿宋"/>
        </w:rPr>
        <w:t>大中型灌区的用水需求。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bookmarkStart w:id="21" w:name="_Toc10924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新建改造一批大中型灌区</w:t>
      </w:r>
      <w:bookmarkEnd w:id="21"/>
    </w:p>
    <w:p>
      <w:pPr>
        <w:bidi w:val="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zh-CN"/>
        </w:rPr>
        <w:t>在全面摸清</w:t>
      </w:r>
      <w:r>
        <w:rPr>
          <w:rFonts w:hint="eastAsia" w:ascii="仿宋" w:hAnsi="仿宋" w:eastAsia="仿宋" w:cs="仿宋"/>
          <w:sz w:val="32"/>
          <w:szCs w:val="28"/>
        </w:rPr>
        <w:t>全市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大中型灌区建设短板的情况下，基于经水土平衡确定的灌区规模，</w:t>
      </w:r>
      <w:r>
        <w:rPr>
          <w:rFonts w:hint="eastAsia" w:ascii="仿宋" w:hAnsi="仿宋" w:eastAsia="仿宋" w:cs="仿宋"/>
          <w:sz w:val="32"/>
          <w:szCs w:val="28"/>
        </w:rPr>
        <w:t>按照“设施完善、用水高效、管理数智、生态优良、保障充分、富民惠民”现代化灌区总体要求，加快全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28"/>
        </w:rPr>
        <w:t>大中型灌区现代化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改造</w:t>
      </w:r>
      <w:r>
        <w:rPr>
          <w:rFonts w:hint="eastAsia" w:ascii="仿宋" w:hAnsi="仿宋" w:eastAsia="仿宋" w:cs="仿宋"/>
          <w:sz w:val="32"/>
          <w:szCs w:val="28"/>
        </w:rPr>
        <w:t>步伐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28"/>
        </w:rPr>
        <w:t>在水土资源条件适宜、新增储备灌溉耕地潜力大的地区积极谋划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一批</w:t>
      </w:r>
      <w:r>
        <w:rPr>
          <w:rFonts w:hint="eastAsia" w:ascii="仿宋" w:hAnsi="仿宋" w:eastAsia="仿宋" w:cs="仿宋"/>
          <w:sz w:val="32"/>
          <w:szCs w:val="28"/>
        </w:rPr>
        <w:t>新建大中型灌区。本次全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28"/>
        </w:rPr>
        <w:t>规划大中型灌区续建配套与现代化改造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28"/>
        </w:rPr>
        <w:t>处，其中大型灌区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28"/>
        </w:rPr>
        <w:t>处，中型灌区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28"/>
        </w:rPr>
        <w:t>处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28"/>
        </w:rPr>
        <w:t>规划新建中型灌区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28"/>
        </w:rPr>
        <w:t>处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。</w:t>
      </w:r>
    </w:p>
    <w:p>
      <w:pPr>
        <w:widowControl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专栏二 大中型灌区新建改造工程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大中型灌区改造：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全市大中型灌区改造8处</w:t>
      </w:r>
      <w:r>
        <w:rPr>
          <w:rFonts w:hint="eastAsia" w:ascii="仿宋" w:hAnsi="仿宋" w:eastAsia="仿宋" w:cs="仿宋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</w:rPr>
        <w:t>其中大型灌区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处，</w:t>
      </w:r>
      <w:r>
        <w:rPr>
          <w:rFonts w:hint="eastAsia" w:ascii="仿宋" w:hAnsi="仿宋" w:eastAsia="仿宋" w:cs="仿宋"/>
          <w:lang w:val="en-US" w:eastAsia="zh-CN"/>
        </w:rPr>
        <w:t>即牛头山水库灌区，</w:t>
      </w:r>
      <w:r>
        <w:rPr>
          <w:rFonts w:hint="eastAsia" w:ascii="仿宋" w:hAnsi="仿宋" w:eastAsia="仿宋" w:cs="仿宋"/>
        </w:rPr>
        <w:t>中型灌区</w:t>
      </w: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处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即椒南灌区、永宁江灌区、界岭水库灌区、温岭灌区、里石门水库灌区、括苍灌区、里林灌区</w:t>
      </w:r>
      <w:r>
        <w:rPr>
          <w:rFonts w:hint="eastAsia" w:ascii="仿宋" w:hAnsi="仿宋" w:eastAsia="仿宋" w:cs="仿宋"/>
          <w:highlight w:val="none"/>
          <w:lang w:val="en-US" w:eastAsia="zh-CN"/>
        </w:rPr>
        <w:t>。合计规划灌溉面积99.24万亩。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新建中型灌区：</w:t>
      </w:r>
      <w:r>
        <w:rPr>
          <w:rFonts w:hint="eastAsia" w:ascii="仿宋" w:hAnsi="仿宋" w:eastAsia="仿宋" w:cs="仿宋"/>
          <w:lang w:val="en-US" w:eastAsia="zh-CN"/>
        </w:rPr>
        <w:t>至2035年，全市规划新建中型灌区7处，分别为下岸灌区、东部灌区、花浦灌区、亭旁灌区、横渡灌区、珠岙灌区、始丰溪南部灌区，合计规划灌溉面积34.36万亩。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bidi w:val="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至2035年，全市大中型灌区数量将达到16处，其中大型1处，中型15处。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bookmarkStart w:id="22" w:name="_Toc2484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提升新建一批高标准农田灌排工程</w:t>
      </w:r>
      <w:bookmarkEnd w:id="22"/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28"/>
        </w:rPr>
        <w:t>根据永久基本农田全部建成高标准农田的要求，坚持新增建设和改造提升并重、建设数量和建成质量并重、工程建设与建后管护并重，产能提升和绿色发展相协调，面上推进和示范引领相结合，因地制宜实施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高标准农田灌排工程</w:t>
      </w:r>
      <w:r>
        <w:rPr>
          <w:rFonts w:hint="eastAsia" w:ascii="仿宋" w:hAnsi="仿宋" w:eastAsia="仿宋" w:cs="仿宋"/>
          <w:sz w:val="32"/>
          <w:szCs w:val="28"/>
        </w:rPr>
        <w:t>建设项目，完善灌排配套渠系。</w:t>
      </w:r>
    </w:p>
    <w:p>
      <w:pPr>
        <w:widowControl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widowControl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专栏三 高标准农田灌排提升新建工程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根据《</w:t>
      </w:r>
      <w:r>
        <w:rPr>
          <w:rFonts w:hint="eastAsia" w:ascii="仿宋" w:hAnsi="仿宋" w:eastAsia="仿宋" w:cs="仿宋"/>
          <w:lang w:val="en-US" w:eastAsia="zh-CN"/>
        </w:rPr>
        <w:t>台州市</w:t>
      </w:r>
      <w:r>
        <w:rPr>
          <w:rFonts w:hint="eastAsia" w:ascii="仿宋" w:hAnsi="仿宋" w:eastAsia="仿宋" w:cs="仿宋"/>
        </w:rPr>
        <w:t>高标准农田建设“十四五”规划》《浙江省逐步把永久基本农田全部建成高标准农田实施方案》等，结合本次规划调查成果，综合确定到2035年我</w:t>
      </w:r>
      <w:r>
        <w:rPr>
          <w:rFonts w:hint="eastAsia" w:ascii="仿宋" w:hAnsi="仿宋" w:eastAsia="仿宋" w:cs="仿宋"/>
          <w:lang w:val="en-US" w:eastAsia="zh-CN"/>
        </w:rPr>
        <w:t>市</w:t>
      </w:r>
      <w:r>
        <w:rPr>
          <w:rFonts w:hint="eastAsia" w:ascii="仿宋" w:hAnsi="仿宋" w:eastAsia="仿宋" w:cs="仿宋"/>
        </w:rPr>
        <w:t>高标准农田的灌排工程建设内容。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bidi w:val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到2027年，优先将符合条件的2</w:t>
      </w:r>
      <w:r>
        <w:rPr>
          <w:rFonts w:hint="eastAsia" w:ascii="仿宋" w:hAnsi="仿宋" w:eastAsia="仿宋" w:cs="仿宋"/>
          <w:lang w:val="en-US" w:eastAsia="zh-CN"/>
        </w:rPr>
        <w:t>0.52</w:t>
      </w:r>
      <w:r>
        <w:rPr>
          <w:rFonts w:hint="eastAsia" w:ascii="仿宋" w:hAnsi="仿宋" w:eastAsia="仿宋" w:cs="仿宋"/>
        </w:rPr>
        <w:t>万亩未建高标永久基本农田（集中连片30亩以上、15°以下）建成高标准农田</w:t>
      </w:r>
      <w:r>
        <w:rPr>
          <w:rFonts w:hint="eastAsia" w:ascii="仿宋" w:hAnsi="仿宋" w:eastAsia="仿宋" w:cs="仿宋"/>
          <w:lang w:val="en-US" w:eastAsia="zh-CN"/>
        </w:rPr>
        <w:t>；因地制宜，同步推进14.76万亩已建成高标准农田改造提升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到2035年，力争完成全</w:t>
      </w:r>
      <w:r>
        <w:rPr>
          <w:rFonts w:hint="eastAsia" w:ascii="仿宋" w:hAnsi="仿宋" w:eastAsia="仿宋" w:cs="仿宋"/>
          <w:lang w:val="en-US" w:eastAsia="zh-CN"/>
        </w:rPr>
        <w:t>市50.50</w:t>
      </w:r>
      <w:r>
        <w:rPr>
          <w:rFonts w:hint="eastAsia" w:ascii="仿宋" w:hAnsi="仿宋" w:eastAsia="仿宋" w:cs="仿宋"/>
        </w:rPr>
        <w:t>万亩永久基本农田全部建成高标准农田的水利设施配套任务，</w:t>
      </w:r>
      <w:r>
        <w:rPr>
          <w:rFonts w:hint="eastAsia" w:ascii="仿宋" w:hAnsi="仿宋" w:eastAsia="仿宋" w:cs="仿宋"/>
          <w:lang w:val="en-US" w:eastAsia="zh-CN"/>
        </w:rPr>
        <w:t>同步完成全市35.33万亩已建成高标准农田改造提升，</w:t>
      </w:r>
      <w:r>
        <w:rPr>
          <w:rFonts w:hint="eastAsia" w:ascii="仿宋" w:hAnsi="仿宋" w:eastAsia="仿宋" w:cs="仿宋"/>
        </w:rPr>
        <w:t>确保粮食生产功能区农田旱涝保收、稳产高产，现代农业园区的农田水利设施适应现代农业的生产要求。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bookmarkStart w:id="23" w:name="_Toc14874"/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）发展一批2000亩以上重点小型灌区</w:t>
      </w:r>
      <w:bookmarkEnd w:id="23"/>
    </w:p>
    <w:p>
      <w:pPr>
        <w:bidi w:val="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  <w:lang w:val="zh-CN"/>
        </w:rPr>
        <w:t>大力推进小型农田水利建设，新建和改造一批小山塘、小堰坝、小水池、小泵站和小沟渠，加快末级渠系改造和田间工程配套，完善灌排渠系，着力解决农田水利建设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卡脖子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和“最后一公里”问题。</w:t>
      </w:r>
      <w:r>
        <w:rPr>
          <w:rFonts w:hint="eastAsia" w:ascii="仿宋" w:hAnsi="仿宋" w:eastAsia="仿宋" w:cs="仿宋"/>
          <w:sz w:val="32"/>
          <w:szCs w:val="28"/>
        </w:rPr>
        <w:t>按照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28"/>
        </w:rPr>
        <w:t>能合则合、能并则并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28"/>
        </w:rPr>
        <w:t>原则，以区域高标准农田与粮食生产功能区为核心，充分考虑水源保障、灌排功能发挥、运行管理便利等因素，撤小并大、集中连片，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20</w:t>
      </w:r>
      <w:r>
        <w:rPr>
          <w:rFonts w:hint="eastAsia" w:ascii="仿宋" w:hAnsi="仿宋" w:eastAsia="仿宋" w:cs="仿宋"/>
          <w:sz w:val="32"/>
          <w:szCs w:val="28"/>
        </w:rPr>
        <w:t>35</w:t>
      </w:r>
      <w:r>
        <w:rPr>
          <w:rFonts w:hint="eastAsia" w:ascii="仿宋" w:hAnsi="仿宋" w:eastAsia="仿宋" w:cs="仿宋"/>
          <w:sz w:val="32"/>
          <w:szCs w:val="28"/>
          <w:lang w:val="zh-CN"/>
        </w:rPr>
        <w:t>年，</w:t>
      </w:r>
      <w:r>
        <w:rPr>
          <w:rFonts w:hint="eastAsia" w:ascii="仿宋" w:hAnsi="仿宋" w:eastAsia="仿宋" w:cs="仿宋"/>
          <w:sz w:val="32"/>
          <w:szCs w:val="28"/>
        </w:rPr>
        <w:t>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28"/>
        </w:rPr>
        <w:t>规划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28"/>
        </w:rPr>
        <w:t>重点小型灌区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灌溉面积10.37万亩</w:t>
      </w:r>
      <w:r>
        <w:rPr>
          <w:rFonts w:hint="eastAsia" w:ascii="仿宋" w:hAnsi="仿宋" w:eastAsia="仿宋" w:cs="仿宋"/>
          <w:sz w:val="32"/>
          <w:szCs w:val="28"/>
        </w:rPr>
        <w:t>。</w:t>
      </w:r>
    </w:p>
    <w:p>
      <w:pPr>
        <w:widowControl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widowControl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widowControl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专栏四 重点小型灌区建设工程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至2035年，全市共6个县（市、区）计划建设2000亩以上重点小型灌区，规划灌溉面积10.37万亩。其中：黄岩区规划重点小型灌区灌溉面积0.83万亩；温岭市规划重点小型灌区灌溉面积4.94万亩；临海市规划重点小型灌区灌溉面积0.65万亩；玉环市规划重点小型灌区灌溉面积0.94万亩；天台县规划重点小型灌区灌溉面积2.30万亩；三门县规划重点小型灌区灌溉面积0.71万亩.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bookmarkStart w:id="24" w:name="_Toc24422"/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）打造一批“水-农-旅”融合的现代化灌区样板</w:t>
      </w:r>
      <w:bookmarkEnd w:id="24"/>
    </w:p>
    <w:p>
      <w:pPr>
        <w:bidi w:val="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坚持节约优先、保护优先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</w:rPr>
        <w:t>以乡村振兴战略为契机，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28"/>
        </w:rPr>
        <w:t>生态灌区、美丽灌区建设为抓手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</w:rPr>
        <w:t>通过配套改造带动灌区干渠沿线乡村的旅游业发展，打造干渠的沿线生态旅游带，进一步保护传承和发扬灌区水生态文化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28"/>
        </w:rPr>
        <w:t>至2035年，全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28"/>
        </w:rPr>
        <w:t>规划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28"/>
        </w:rPr>
        <w:t>5处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28"/>
        </w:rPr>
        <w:t>水-农-旅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28"/>
        </w:rPr>
        <w:t>融合的现代化灌区样板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</w:rPr>
        <w:t>打造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28"/>
        </w:rPr>
        <w:t>处灌区生态文明窗口节点。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zh-CN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bidi w:val="0"/>
        <w:ind w:firstLine="1124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25" w:name="_Toc12075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五、主要管理任务</w:t>
      </w:r>
      <w:bookmarkEnd w:id="25"/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26" w:name="_Toc19794"/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完善农田灌溉工程建设机制</w:t>
      </w:r>
      <w:bookmarkEnd w:id="26"/>
    </w:p>
    <w:p>
      <w:pPr>
        <w:bidi w:val="0"/>
        <w:rPr>
          <w:rFonts w:hint="default" w:ascii="仿宋" w:hAnsi="仿宋" w:eastAsia="仿宋" w:cs="仿宋"/>
          <w:sz w:val="32"/>
          <w:szCs w:val="28"/>
          <w:lang w:val="en-US" w:eastAsia="zh-CN"/>
        </w:rPr>
      </w:pPr>
      <w:r>
        <w:rPr>
          <w:rFonts w:hint="default" w:ascii="仿宋" w:hAnsi="仿宋" w:eastAsia="仿宋" w:cs="仿宋"/>
          <w:sz w:val="32"/>
          <w:szCs w:val="28"/>
          <w:lang w:val="en-US" w:eastAsia="zh-CN"/>
        </w:rPr>
        <w:t>大中型灌区等骨干工程的建设管理应严格按照相关政策法规要求，执行项目建设程序、严把项目质量关、做好项目建设资金管理。创新现代化灌区建设投融资机制，通过地方政府专项债、金融信贷、社会资本等多渠道落实灌区建设投资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28"/>
          <w:lang w:val="en-US" w:eastAsia="zh-CN"/>
        </w:rPr>
        <w:t>统筹推进大中型灌区骨干工程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28"/>
          <w:lang w:val="en-US" w:eastAsia="zh-CN"/>
        </w:rPr>
        <w:t>高标准农田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和土地综合整治项目</w:t>
      </w:r>
      <w:r>
        <w:rPr>
          <w:rFonts w:hint="default" w:ascii="仿宋" w:hAnsi="仿宋" w:eastAsia="仿宋" w:cs="仿宋"/>
          <w:sz w:val="32"/>
          <w:szCs w:val="28"/>
          <w:lang w:val="en-US" w:eastAsia="zh-CN"/>
        </w:rPr>
        <w:t>，多渠道筹集工程建设资金，因地制宜推行代建制、设计施工总承包、以工代赈、企业投建管一体化等模式。对不涉及公共安全、技术难度不大、投资额在地方规定限额以下的，可简化建设程序和验收环节。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zh-CN" w:eastAsia="zh-CN"/>
        </w:rPr>
      </w:pPr>
      <w:bookmarkStart w:id="27" w:name="_Toc9512"/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创新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农田灌溉管理体制机制</w:t>
      </w:r>
      <w:bookmarkEnd w:id="27"/>
    </w:p>
    <w:p>
      <w:pPr>
        <w:bidi w:val="0"/>
        <w:rPr>
          <w:rFonts w:hint="eastAsia" w:ascii="仿宋" w:hAnsi="仿宋" w:eastAsia="仿宋" w:cs="仿宋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28"/>
        </w:rPr>
        <w:t>加快农田灌溉工程建设与管理体制改革，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创新投融资机制，</w:t>
      </w:r>
      <w:r>
        <w:rPr>
          <w:rFonts w:hint="eastAsia" w:ascii="仿宋" w:hAnsi="仿宋" w:eastAsia="仿宋" w:cs="仿宋"/>
          <w:sz w:val="32"/>
          <w:szCs w:val="28"/>
        </w:rPr>
        <w:t>健全长效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管护</w:t>
      </w:r>
      <w:r>
        <w:rPr>
          <w:rFonts w:hint="eastAsia" w:ascii="仿宋" w:hAnsi="仿宋" w:eastAsia="仿宋" w:cs="仿宋"/>
          <w:sz w:val="32"/>
          <w:szCs w:val="28"/>
        </w:rPr>
        <w:t>机制；深化大中型灌区管理体制改革和标准化管理，健全灌区管理机构，落实好公益性、准公益性水管单位基本支出和维修养护经费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</w:rPr>
        <w:t>新建大中型灌区按照水利部要求严格落实灌区专管机构和管理机制，现有大中型灌区持续完善管理体制机制，逐步推进大中型灌区物业化管护；深化农业水价综合改革，积极推进农田水利灌溉设施更新升级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做好深化农业水价综合改革推进现代化灌区建设试点</w:t>
      </w:r>
      <w:r>
        <w:rPr>
          <w:rFonts w:hint="eastAsia" w:ascii="仿宋" w:hAnsi="仿宋" w:eastAsia="仿宋" w:cs="仿宋"/>
          <w:sz w:val="32"/>
          <w:szCs w:val="28"/>
        </w:rPr>
        <w:t>；推进小型农田水利工程管理改革，探索建立“以大带小、小小联合”区域化集中管理和物业化管理模式。建立健全基层水利服务体系，积极探索农民参与农田水利管理模式。完善水利科技创新机制，推进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金清灌溉</w:t>
      </w:r>
      <w:r>
        <w:rPr>
          <w:rFonts w:hint="eastAsia" w:ascii="仿宋" w:hAnsi="仿宋" w:eastAsia="仿宋" w:cs="仿宋"/>
          <w:sz w:val="32"/>
          <w:szCs w:val="28"/>
        </w:rPr>
        <w:t>试验站建设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。</w:t>
      </w:r>
    </w:p>
    <w:p>
      <w:pPr>
        <w:pStyle w:val="2"/>
        <w:bidi w:val="0"/>
        <w:ind w:firstLine="1124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bidi w:val="0"/>
        <w:ind w:firstLine="1124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28" w:name="_Toc14006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六、投资匡算与实施安排</w:t>
      </w:r>
      <w:bookmarkEnd w:id="28"/>
    </w:p>
    <w:p>
      <w:pPr>
        <w:pStyle w:val="3"/>
        <w:bidi w:val="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bookmarkStart w:id="29" w:name="_Toc26385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（一）投资匡算</w:t>
      </w:r>
      <w:bookmarkEnd w:id="29"/>
    </w:p>
    <w:p>
      <w:pPr>
        <w:bidi w:val="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台州市农田灌溉发展规划匡算总投资为52.8亿元，其中：大中型灌区改造投资15.8亿元，新建大中型灌区投资22.7亿元，重点小型灌区投资2.3亿元，高标准农田灌排工程建设投资9.4亿元，管理与改革投资2.6亿元</w:t>
      </w:r>
      <w:r>
        <w:rPr>
          <w:rFonts w:hint="eastAsia" w:ascii="仿宋" w:hAnsi="仿宋" w:eastAsia="仿宋" w:cs="仿宋"/>
          <w:sz w:val="32"/>
          <w:szCs w:val="28"/>
        </w:rPr>
        <w:t>。</w:t>
      </w:r>
    </w:p>
    <w:p>
      <w:pPr>
        <w:pStyle w:val="7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3  投资匡算表</w:t>
      </w:r>
    </w:p>
    <w:tbl>
      <w:tblPr>
        <w:tblStyle w:val="13"/>
        <w:tblW w:w="44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963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0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工程类型</w:t>
            </w:r>
          </w:p>
        </w:tc>
        <w:tc>
          <w:tcPr>
            <w:tcW w:w="2662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投资（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val="en-US" w:eastAsia="zh-CN"/>
              </w:rPr>
              <w:t>亿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71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合计</w:t>
            </w:r>
          </w:p>
        </w:tc>
        <w:tc>
          <w:tcPr>
            <w:tcW w:w="26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大中型灌区改造</w:t>
            </w:r>
          </w:p>
        </w:tc>
        <w:tc>
          <w:tcPr>
            <w:tcW w:w="26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新建中型灌区</w:t>
            </w:r>
          </w:p>
        </w:tc>
        <w:tc>
          <w:tcPr>
            <w:tcW w:w="26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重点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小型灌区</w:t>
            </w:r>
          </w:p>
        </w:tc>
        <w:tc>
          <w:tcPr>
            <w:tcW w:w="26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高标准农田灌排工程建设</w:t>
            </w:r>
          </w:p>
        </w:tc>
        <w:tc>
          <w:tcPr>
            <w:tcW w:w="26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964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管理与改革</w:t>
            </w:r>
          </w:p>
        </w:tc>
        <w:tc>
          <w:tcPr>
            <w:tcW w:w="26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pStyle w:val="3"/>
        <w:bidi w:val="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bookmarkStart w:id="30" w:name="_Toc22111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（二）实施安排</w:t>
      </w:r>
      <w:bookmarkEnd w:id="30"/>
    </w:p>
    <w:p>
      <w:pPr>
        <w:bidi w:val="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划项目库实行动态管理，列入项目库的项目仅作为审批、核准、建设的依据，不作为必须开工建设的约束性任务和各类考核的依据。项目类型及面积、任务、投资、实施期等指标后续根据项目前期工作情况作进一步优化调整。</w:t>
      </w:r>
    </w:p>
    <w:p>
      <w:pPr>
        <w:bidi w:val="0"/>
        <w:rPr>
          <w:rFonts w:hint="eastAsia" w:ascii="仿宋" w:hAnsi="仿宋" w:eastAsia="仿宋" w:cs="仿宋"/>
          <w:sz w:val="32"/>
          <w:szCs w:val="28"/>
          <w:lang w:val="en-US" w:eastAsia="zh-CN"/>
        </w:rPr>
      </w:pPr>
    </w:p>
    <w:p>
      <w:pPr>
        <w:pStyle w:val="2"/>
        <w:bidi w:val="0"/>
        <w:ind w:firstLine="1124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bidi w:val="0"/>
        <w:ind w:firstLine="1124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31" w:name="_Toc14594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七、保障措施</w:t>
      </w:r>
      <w:bookmarkEnd w:id="31"/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32" w:name="_Toc10848"/>
      <w:bookmarkStart w:id="33" w:name="_Toc912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（一）加强组织领导</w:t>
      </w:r>
      <w:bookmarkEnd w:id="32"/>
      <w:bookmarkEnd w:id="33"/>
    </w:p>
    <w:p>
      <w:pPr>
        <w:bidi w:val="0"/>
        <w:rPr>
          <w:rFonts w:hint="default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</w:rPr>
        <w:t>台州市及下辖县（市、区）将积极争取本级人民政府的重视，建立健全农田灌溉保障协调推进机制，加强水利、发改、农业农村、自然资源、财政等部门协同和上下联动，做好灌区骨干工程、高标准农田建设和全域土地综合整治等项目建设统筹。建立市级部门协调、上下协作联动的工作机制，充分发挥项目领导小组统筹协调作用，采取有力措施，合力推进项目实施。</w:t>
      </w:r>
    </w:p>
    <w:p>
      <w:pPr>
        <w:pStyle w:val="3"/>
        <w:bidi w:val="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bookmarkStart w:id="34" w:name="_Toc26923"/>
      <w:bookmarkStart w:id="35" w:name="_Toc18852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bookmarkEnd w:id="34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强化资金保障</w:t>
      </w:r>
      <w:bookmarkEnd w:id="35"/>
    </w:p>
    <w:p>
      <w:pPr>
        <w:bidi w:val="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</w:rPr>
        <w:t>进一步发挥中央预算内投资、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超长期国债、</w:t>
      </w:r>
      <w:r>
        <w:rPr>
          <w:rFonts w:hint="eastAsia" w:ascii="仿宋" w:hAnsi="仿宋" w:eastAsia="仿宋" w:cs="仿宋"/>
          <w:sz w:val="32"/>
          <w:szCs w:val="28"/>
        </w:rPr>
        <w:t>中央财政资金对灌溉发展的引导作用，推动地方各级政府加大对灌溉发展的投入，积极做好政府专项债券申报工作。用好国债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专项债</w:t>
      </w:r>
      <w:r>
        <w:rPr>
          <w:rFonts w:hint="eastAsia" w:ascii="仿宋" w:hAnsi="仿宋" w:eastAsia="仿宋" w:cs="仿宋"/>
          <w:sz w:val="32"/>
          <w:szCs w:val="28"/>
        </w:rPr>
        <w:t>等渠道支持灌区骨干工程和小型灌排设施建设的政策，用足用好金融信贷支持水利基础设施建设一系列优惠政策，积极争取政策性银行贷款和社会资本投入，“两手发力”保障农田灌溉发展的资金需求。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36" w:name="_Toc5168"/>
      <w:bookmarkStart w:id="37" w:name="_Toc1943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（三）强化监督考核</w:t>
      </w:r>
      <w:bookmarkEnd w:id="36"/>
      <w:bookmarkEnd w:id="37"/>
    </w:p>
    <w:p>
      <w:pPr>
        <w:bidi w:val="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建立健全目标责任制，将农田灌溉工程项目建设纳入政府对部门单位的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耕地保护和</w:t>
      </w:r>
      <w:r>
        <w:rPr>
          <w:rFonts w:hint="eastAsia" w:ascii="仿宋" w:hAnsi="仿宋" w:eastAsia="仿宋" w:cs="仿宋"/>
          <w:sz w:val="32"/>
          <w:szCs w:val="28"/>
        </w:rPr>
        <w:t>粮食安全责任制等考核体系中。建立完善农田灌溉工程的建设管理、项目管理、资金管理、验收管理及建后管护制度，全面规范农田灌溉工程建设各环节工作，保证建设工作依规范、按标准有序运行。建立项目实施效果跟踪评价机制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各相关部门</w:t>
      </w:r>
      <w:r>
        <w:rPr>
          <w:rFonts w:hint="eastAsia" w:ascii="仿宋" w:hAnsi="仿宋" w:eastAsia="仿宋" w:cs="仿宋"/>
          <w:sz w:val="32"/>
          <w:szCs w:val="28"/>
        </w:rPr>
        <w:t>适时开展规划实施情况评估，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推动《规划》落地见效</w:t>
      </w:r>
      <w:r>
        <w:rPr>
          <w:rFonts w:hint="eastAsia" w:ascii="仿宋" w:hAnsi="仿宋" w:eastAsia="仿宋" w:cs="仿宋"/>
          <w:sz w:val="32"/>
          <w:szCs w:val="28"/>
        </w:rPr>
        <w:t>。</w:t>
      </w:r>
    </w:p>
    <w:p>
      <w:pPr>
        <w:pStyle w:val="3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38" w:name="_Toc135322651"/>
      <w:bookmarkStart w:id="39" w:name="_Toc29752"/>
      <w:bookmarkStart w:id="40" w:name="_Toc5534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（四）注重创新驱动</w:t>
      </w:r>
      <w:bookmarkEnd w:id="38"/>
      <w:bookmarkEnd w:id="39"/>
      <w:bookmarkEnd w:id="40"/>
    </w:p>
    <w:p>
      <w:pPr>
        <w:rPr>
          <w:rFonts w:hint="eastAsia" w:ascii="仿宋" w:hAnsi="仿宋" w:eastAsia="仿宋" w:cs="仿宋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28"/>
        </w:rPr>
        <w:t>围绕灌区现代化改造和农业“双强”行动的关键性技术问题，开展跨学科、跨领域的科学研究，组织关键技术攻关，提高基础研究和技术研发水平，注重科技成果转化。研究适合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台州市</w:t>
      </w:r>
      <w:r>
        <w:rPr>
          <w:rFonts w:hint="eastAsia" w:ascii="仿宋" w:hAnsi="仿宋" w:eastAsia="仿宋" w:cs="仿宋"/>
          <w:sz w:val="32"/>
          <w:szCs w:val="28"/>
        </w:rPr>
        <w:t>种植结构和农业发展需求的灌溉技术等，发展高效节水型农业。依靠科技进步提升工程质量，提高现有技术和设备的可靠性、实用性，采用经工程实践和鉴定合格的新技术、新工艺、新材料和新设备，支持实用技术与设备、成熟经验的引进、消化、吸收与推广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</w:pPr>
      <w:bookmarkStart w:id="41" w:name="_Toc11017"/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附表1  台州市灌溉面积发展情况表</w:t>
      </w:r>
      <w:bookmarkEnd w:id="41"/>
    </w:p>
    <w:tbl>
      <w:tblPr>
        <w:tblStyle w:val="13"/>
        <w:tblW w:w="467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1657"/>
        <w:gridCol w:w="2071"/>
        <w:gridCol w:w="21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740" w:type="dxa"/>
            <w:vMerge w:val="restart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  <w:lang w:val="en-US" w:eastAsia="zh-CN"/>
              </w:rPr>
              <w:t>县（市、区）</w:t>
            </w:r>
          </w:p>
        </w:tc>
        <w:tc>
          <w:tcPr>
            <w:tcW w:w="5898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2035年规划灌溉面积</w:t>
            </w:r>
            <w:r>
              <w:rPr>
                <w:rFonts w:hint="eastAsia" w:eastAsia="仿宋" w:cs="Times New Roman"/>
                <w:b/>
                <w:bCs/>
                <w:sz w:val="24"/>
                <w:szCs w:val="22"/>
                <w:lang w:eastAsia="zh-CN"/>
              </w:rPr>
              <w:t>（</w:t>
            </w:r>
            <w:r>
              <w:rPr>
                <w:rFonts w:hint="eastAsia" w:eastAsia="仿宋" w:cs="Times New Roman"/>
                <w:b/>
                <w:bCs/>
                <w:sz w:val="24"/>
                <w:szCs w:val="22"/>
                <w:lang w:val="en-US" w:eastAsia="zh-CN"/>
              </w:rPr>
              <w:t>万亩</w:t>
            </w:r>
            <w:r>
              <w:rPr>
                <w:rFonts w:hint="eastAsia" w:eastAsia="仿宋" w:cs="Times New Roman"/>
                <w:b/>
                <w:bCs/>
                <w:sz w:val="24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740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657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小计</w:t>
            </w:r>
          </w:p>
        </w:tc>
        <w:tc>
          <w:tcPr>
            <w:tcW w:w="2071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耕地灌溉面积</w:t>
            </w:r>
          </w:p>
        </w:tc>
        <w:tc>
          <w:tcPr>
            <w:tcW w:w="2170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林果草灌溉面积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0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合计</w:t>
            </w:r>
          </w:p>
        </w:tc>
        <w:tc>
          <w:tcPr>
            <w:tcW w:w="1657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 xml:space="preserve">237.08 </w:t>
            </w:r>
          </w:p>
        </w:tc>
        <w:tc>
          <w:tcPr>
            <w:tcW w:w="2071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 xml:space="preserve">191.70 </w:t>
            </w:r>
          </w:p>
        </w:tc>
        <w:tc>
          <w:tcPr>
            <w:tcW w:w="2170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 xml:space="preserve">45.38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0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  <w:lang w:val="en-US" w:eastAsia="zh-CN"/>
              </w:rPr>
              <w:t>椒江区</w:t>
            </w:r>
          </w:p>
        </w:tc>
        <w:tc>
          <w:tcPr>
            <w:tcW w:w="1657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14.17 </w:t>
            </w:r>
          </w:p>
        </w:tc>
        <w:tc>
          <w:tcPr>
            <w:tcW w:w="2071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11.18 </w:t>
            </w:r>
          </w:p>
        </w:tc>
        <w:tc>
          <w:tcPr>
            <w:tcW w:w="2170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2.99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0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  <w:lang w:val="en-US" w:eastAsia="zh-CN"/>
              </w:rPr>
              <w:t>黄岩区</w:t>
            </w:r>
          </w:p>
        </w:tc>
        <w:tc>
          <w:tcPr>
            <w:tcW w:w="1657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18.73 </w:t>
            </w:r>
          </w:p>
        </w:tc>
        <w:tc>
          <w:tcPr>
            <w:tcW w:w="2071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13.41 </w:t>
            </w:r>
          </w:p>
        </w:tc>
        <w:tc>
          <w:tcPr>
            <w:tcW w:w="2170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5.32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0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  <w:lang w:val="en-US" w:eastAsia="zh-CN"/>
              </w:rPr>
              <w:t>路桥区</w:t>
            </w:r>
          </w:p>
        </w:tc>
        <w:tc>
          <w:tcPr>
            <w:tcW w:w="1657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13.73 </w:t>
            </w:r>
          </w:p>
        </w:tc>
        <w:tc>
          <w:tcPr>
            <w:tcW w:w="2071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13.73 </w:t>
            </w:r>
          </w:p>
        </w:tc>
        <w:tc>
          <w:tcPr>
            <w:tcW w:w="2170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0.00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0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  <w:lang w:val="en-US" w:eastAsia="zh-CN"/>
              </w:rPr>
              <w:t>临海市</w:t>
            </w:r>
          </w:p>
        </w:tc>
        <w:tc>
          <w:tcPr>
            <w:tcW w:w="1657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54.42 </w:t>
            </w:r>
          </w:p>
        </w:tc>
        <w:tc>
          <w:tcPr>
            <w:tcW w:w="2071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40.86 </w:t>
            </w:r>
          </w:p>
        </w:tc>
        <w:tc>
          <w:tcPr>
            <w:tcW w:w="2170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13.56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0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  <w:lang w:val="en-US" w:eastAsia="zh-CN"/>
              </w:rPr>
              <w:t>温岭市</w:t>
            </w:r>
          </w:p>
        </w:tc>
        <w:tc>
          <w:tcPr>
            <w:tcW w:w="1657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36.60 </w:t>
            </w:r>
          </w:p>
        </w:tc>
        <w:tc>
          <w:tcPr>
            <w:tcW w:w="2071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35.84 </w:t>
            </w:r>
          </w:p>
        </w:tc>
        <w:tc>
          <w:tcPr>
            <w:tcW w:w="2170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0.76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0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  <w:lang w:val="en-US" w:eastAsia="zh-CN"/>
              </w:rPr>
              <w:t>玉环市</w:t>
            </w:r>
          </w:p>
        </w:tc>
        <w:tc>
          <w:tcPr>
            <w:tcW w:w="1657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10.54 </w:t>
            </w:r>
          </w:p>
        </w:tc>
        <w:tc>
          <w:tcPr>
            <w:tcW w:w="2071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8.47 </w:t>
            </w:r>
          </w:p>
        </w:tc>
        <w:tc>
          <w:tcPr>
            <w:tcW w:w="2170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2.07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0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  <w:lang w:val="en-US" w:eastAsia="zh-CN"/>
              </w:rPr>
              <w:t>天台县</w:t>
            </w:r>
          </w:p>
        </w:tc>
        <w:tc>
          <w:tcPr>
            <w:tcW w:w="1657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31.04 </w:t>
            </w:r>
          </w:p>
        </w:tc>
        <w:tc>
          <w:tcPr>
            <w:tcW w:w="2071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26.52 </w:t>
            </w:r>
          </w:p>
        </w:tc>
        <w:tc>
          <w:tcPr>
            <w:tcW w:w="2170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4.52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0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  <w:lang w:val="en-US" w:eastAsia="zh-CN"/>
              </w:rPr>
              <w:t>仙居县</w:t>
            </w:r>
          </w:p>
        </w:tc>
        <w:tc>
          <w:tcPr>
            <w:tcW w:w="1657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34.73 </w:t>
            </w:r>
          </w:p>
        </w:tc>
        <w:tc>
          <w:tcPr>
            <w:tcW w:w="2071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24.29 </w:t>
            </w:r>
          </w:p>
        </w:tc>
        <w:tc>
          <w:tcPr>
            <w:tcW w:w="2170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10.44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40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2"/>
                <w:lang w:val="en-US" w:eastAsia="zh-CN"/>
              </w:rPr>
              <w:t>三门县</w:t>
            </w:r>
          </w:p>
        </w:tc>
        <w:tc>
          <w:tcPr>
            <w:tcW w:w="1657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23.12 </w:t>
            </w:r>
          </w:p>
        </w:tc>
        <w:tc>
          <w:tcPr>
            <w:tcW w:w="2071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17.39 </w:t>
            </w:r>
          </w:p>
        </w:tc>
        <w:tc>
          <w:tcPr>
            <w:tcW w:w="2170" w:type="dxa"/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  <w:lang w:val="en-US" w:eastAsia="zh-CN"/>
              </w:rPr>
              <w:t xml:space="preserve">5.73 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firstLine="0" w:firstLineChars="0"/>
        <w:jc w:val="left"/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各县（市、区）2035年灌溉面积为根据现状水土资源条件规划的预期性目标，不作为约束性指标。 </w:t>
      </w:r>
    </w:p>
    <w:p>
      <w:pPr>
        <w:keepNext w:val="0"/>
        <w:keepLines w:val="0"/>
        <w:widowControl/>
        <w:suppressLineNumbers w:val="0"/>
        <w:ind w:left="0" w:leftChars="0" w:firstLine="48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按照国家和地方有关政策要求，现状林地、草地、园地等恢复为耕地导致耕地灌溉面积变化的，经水资源论证后，可调增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2035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年耕地灌溉面积，林果草地灌溉面积相应调减。</w:t>
      </w:r>
    </w:p>
    <w:p>
      <w:pPr>
        <w:pStyle w:val="2"/>
        <w:bidi w:val="0"/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</w:pPr>
      <w:bookmarkStart w:id="42" w:name="_Toc8"/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附表2  台州市农田灌溉发展规划项目表</w:t>
      </w:r>
      <w:bookmarkEnd w:id="42"/>
    </w:p>
    <w:tbl>
      <w:tblPr>
        <w:tblStyle w:val="13"/>
        <w:tblW w:w="87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25"/>
        <w:gridCol w:w="1215"/>
        <w:gridCol w:w="1785"/>
        <w:gridCol w:w="1744"/>
        <w:gridCol w:w="1188"/>
        <w:gridCol w:w="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32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灌区名称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灌区类型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规划灌溉面积（万亩）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（亿元）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（一）大中型灌区现代化改造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99.24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牛头山水库灌区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椒江区、临海市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32.33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椒南灌区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椒江区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7.44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永宁江灌区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黄岩区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13.14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界岭水库灌区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临海市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1.95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温岭灌区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温岭市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22.60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里石门水库灌区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天台县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16.64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括苍灌区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仙居县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里林灌区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仙居县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2.54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（二）新建中型灌区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34.36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下岸灌区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仙居县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9.77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东部灌区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11.80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花浦灌区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4.72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亭旁灌区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2.85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珠岙灌区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横渡灌区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1.48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始丰溪南部灌区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天台县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2.42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（三）重点小型灌区建设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.3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黄岩区重点小型灌区建设工程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温岭市重点小型灌区建设工程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临海市重点小型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玉环市重点小型灌区建设工程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天台县重点小型灌区建设工程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三门县重点小型灌区建设工程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7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（四）高标准农田灌排工程建设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85.83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新建高标准农田灌排工程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50.50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改造提升高标准农田灌排工程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35.33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</w:tbl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zg4MGViNmM4YTFlOGU1MjBhMmRjNGFiYTVmN2IifQ=="/>
  </w:docVars>
  <w:rsids>
    <w:rsidRoot w:val="1DC50A00"/>
    <w:rsid w:val="002375F1"/>
    <w:rsid w:val="01A64924"/>
    <w:rsid w:val="01CC71C2"/>
    <w:rsid w:val="02280A04"/>
    <w:rsid w:val="027917B4"/>
    <w:rsid w:val="02DE54F7"/>
    <w:rsid w:val="04781A0B"/>
    <w:rsid w:val="04C2712A"/>
    <w:rsid w:val="05E277DC"/>
    <w:rsid w:val="0643426F"/>
    <w:rsid w:val="066C073F"/>
    <w:rsid w:val="06BF6BED"/>
    <w:rsid w:val="06E93094"/>
    <w:rsid w:val="06E97147"/>
    <w:rsid w:val="08767631"/>
    <w:rsid w:val="09107B4E"/>
    <w:rsid w:val="0944684E"/>
    <w:rsid w:val="095C30ED"/>
    <w:rsid w:val="0B7521CF"/>
    <w:rsid w:val="0C105C49"/>
    <w:rsid w:val="0CA52FE9"/>
    <w:rsid w:val="0E9E0567"/>
    <w:rsid w:val="0EAD400D"/>
    <w:rsid w:val="0EB50236"/>
    <w:rsid w:val="0F4C3B55"/>
    <w:rsid w:val="0F661223"/>
    <w:rsid w:val="0F9E5AA5"/>
    <w:rsid w:val="0FB73D2F"/>
    <w:rsid w:val="0FF4725E"/>
    <w:rsid w:val="10F83127"/>
    <w:rsid w:val="117C62DD"/>
    <w:rsid w:val="117F0DC3"/>
    <w:rsid w:val="125E637D"/>
    <w:rsid w:val="137E2966"/>
    <w:rsid w:val="13E16B73"/>
    <w:rsid w:val="1452014D"/>
    <w:rsid w:val="15064E11"/>
    <w:rsid w:val="1566291E"/>
    <w:rsid w:val="15A21F98"/>
    <w:rsid w:val="15FD7FC2"/>
    <w:rsid w:val="16992B33"/>
    <w:rsid w:val="174B4BAD"/>
    <w:rsid w:val="1817312E"/>
    <w:rsid w:val="1A314416"/>
    <w:rsid w:val="1ADE4797"/>
    <w:rsid w:val="1B2C45BD"/>
    <w:rsid w:val="1B4F099E"/>
    <w:rsid w:val="1B6041AB"/>
    <w:rsid w:val="1C0364D8"/>
    <w:rsid w:val="1C556BB1"/>
    <w:rsid w:val="1DC50A00"/>
    <w:rsid w:val="1E103E95"/>
    <w:rsid w:val="1E472911"/>
    <w:rsid w:val="1E505908"/>
    <w:rsid w:val="1E95220C"/>
    <w:rsid w:val="208D2C46"/>
    <w:rsid w:val="20F261F2"/>
    <w:rsid w:val="21066946"/>
    <w:rsid w:val="210818F4"/>
    <w:rsid w:val="2193296F"/>
    <w:rsid w:val="21E615A1"/>
    <w:rsid w:val="22E61AD1"/>
    <w:rsid w:val="23E35E8B"/>
    <w:rsid w:val="24741D97"/>
    <w:rsid w:val="25BF0FB4"/>
    <w:rsid w:val="26EE4DF4"/>
    <w:rsid w:val="27161A2D"/>
    <w:rsid w:val="279E742B"/>
    <w:rsid w:val="27E97A99"/>
    <w:rsid w:val="291330B2"/>
    <w:rsid w:val="2A324725"/>
    <w:rsid w:val="2A7623D0"/>
    <w:rsid w:val="2AE337D3"/>
    <w:rsid w:val="2AF27EA3"/>
    <w:rsid w:val="2B5B5E24"/>
    <w:rsid w:val="2BDB153F"/>
    <w:rsid w:val="2CB444D3"/>
    <w:rsid w:val="2D85465F"/>
    <w:rsid w:val="2DBD16A9"/>
    <w:rsid w:val="2E1A426F"/>
    <w:rsid w:val="2E52700F"/>
    <w:rsid w:val="306D22D6"/>
    <w:rsid w:val="30DA5678"/>
    <w:rsid w:val="319A4240"/>
    <w:rsid w:val="319E5C4C"/>
    <w:rsid w:val="31C41ED1"/>
    <w:rsid w:val="325925CC"/>
    <w:rsid w:val="32F466F0"/>
    <w:rsid w:val="3482493D"/>
    <w:rsid w:val="348257DA"/>
    <w:rsid w:val="34AC0153"/>
    <w:rsid w:val="34F152D1"/>
    <w:rsid w:val="357C41E3"/>
    <w:rsid w:val="358110FD"/>
    <w:rsid w:val="36366C5F"/>
    <w:rsid w:val="364F771F"/>
    <w:rsid w:val="37A4253C"/>
    <w:rsid w:val="38570AEA"/>
    <w:rsid w:val="38CD161E"/>
    <w:rsid w:val="39DA49BA"/>
    <w:rsid w:val="39F72F1E"/>
    <w:rsid w:val="3B507FB4"/>
    <w:rsid w:val="3C256582"/>
    <w:rsid w:val="3C3F306D"/>
    <w:rsid w:val="3CBC3E83"/>
    <w:rsid w:val="3E853AAA"/>
    <w:rsid w:val="3F0B21BE"/>
    <w:rsid w:val="3F135CEA"/>
    <w:rsid w:val="3FE078F8"/>
    <w:rsid w:val="40774C91"/>
    <w:rsid w:val="41447B66"/>
    <w:rsid w:val="415648A7"/>
    <w:rsid w:val="41D95AE8"/>
    <w:rsid w:val="42EA3430"/>
    <w:rsid w:val="432509D4"/>
    <w:rsid w:val="44CF6879"/>
    <w:rsid w:val="45510119"/>
    <w:rsid w:val="457C487E"/>
    <w:rsid w:val="462B2B5B"/>
    <w:rsid w:val="4737220E"/>
    <w:rsid w:val="477C109E"/>
    <w:rsid w:val="48D339E3"/>
    <w:rsid w:val="496B141D"/>
    <w:rsid w:val="4A213DE5"/>
    <w:rsid w:val="4BA803F5"/>
    <w:rsid w:val="4CBF3D05"/>
    <w:rsid w:val="4E231EC4"/>
    <w:rsid w:val="4ED676B8"/>
    <w:rsid w:val="4FD72D4A"/>
    <w:rsid w:val="51547A9F"/>
    <w:rsid w:val="52F42171"/>
    <w:rsid w:val="54373B95"/>
    <w:rsid w:val="56251DB4"/>
    <w:rsid w:val="583B614D"/>
    <w:rsid w:val="583D0117"/>
    <w:rsid w:val="584B0321"/>
    <w:rsid w:val="586A5B52"/>
    <w:rsid w:val="5A250E62"/>
    <w:rsid w:val="5A417D50"/>
    <w:rsid w:val="5A820063"/>
    <w:rsid w:val="5B1105FF"/>
    <w:rsid w:val="5B920779"/>
    <w:rsid w:val="5BD8482B"/>
    <w:rsid w:val="5C0B7E01"/>
    <w:rsid w:val="5C237623"/>
    <w:rsid w:val="5C583771"/>
    <w:rsid w:val="5C675762"/>
    <w:rsid w:val="5D9C10E8"/>
    <w:rsid w:val="5E4B17A7"/>
    <w:rsid w:val="5E4F4700"/>
    <w:rsid w:val="5E904358"/>
    <w:rsid w:val="5E9C5C93"/>
    <w:rsid w:val="5F541FB2"/>
    <w:rsid w:val="61C86CA3"/>
    <w:rsid w:val="62FB0CD3"/>
    <w:rsid w:val="63533425"/>
    <w:rsid w:val="643D6EA6"/>
    <w:rsid w:val="64A27E2A"/>
    <w:rsid w:val="64B27796"/>
    <w:rsid w:val="66821211"/>
    <w:rsid w:val="6692441C"/>
    <w:rsid w:val="669F4CB3"/>
    <w:rsid w:val="68080F1E"/>
    <w:rsid w:val="681D5102"/>
    <w:rsid w:val="6CEE660B"/>
    <w:rsid w:val="6D0D1B2C"/>
    <w:rsid w:val="6D3E6F08"/>
    <w:rsid w:val="6D5F1C68"/>
    <w:rsid w:val="6E340ADE"/>
    <w:rsid w:val="6EB23AD8"/>
    <w:rsid w:val="6F1201CC"/>
    <w:rsid w:val="6F7C763A"/>
    <w:rsid w:val="70340294"/>
    <w:rsid w:val="703B37C9"/>
    <w:rsid w:val="71DE37D2"/>
    <w:rsid w:val="71FB06CB"/>
    <w:rsid w:val="721F123D"/>
    <w:rsid w:val="725B321B"/>
    <w:rsid w:val="7278369A"/>
    <w:rsid w:val="727F59CD"/>
    <w:rsid w:val="73182EDA"/>
    <w:rsid w:val="739353B2"/>
    <w:rsid w:val="73BC5B08"/>
    <w:rsid w:val="741C1D44"/>
    <w:rsid w:val="74D66FC7"/>
    <w:rsid w:val="75183A4D"/>
    <w:rsid w:val="75290E32"/>
    <w:rsid w:val="754523EA"/>
    <w:rsid w:val="76684FBC"/>
    <w:rsid w:val="767338DE"/>
    <w:rsid w:val="789E1573"/>
    <w:rsid w:val="79094337"/>
    <w:rsid w:val="79B27523"/>
    <w:rsid w:val="7B1E08A2"/>
    <w:rsid w:val="7BAA2C2F"/>
    <w:rsid w:val="7BB02B3C"/>
    <w:rsid w:val="7CBA0062"/>
    <w:rsid w:val="7CBF0209"/>
    <w:rsid w:val="7D412FF7"/>
    <w:rsid w:val="7D7B0079"/>
    <w:rsid w:val="7F301C41"/>
    <w:rsid w:val="7FD83478"/>
    <w:rsid w:val="7FF13FAF"/>
    <w:rsid w:val="FFBDC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124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 w:line="240" w:lineRule="auto"/>
      <w:ind w:firstLine="1124" w:firstLineChars="200"/>
      <w:jc w:val="left"/>
      <w:outlineLvl w:val="0"/>
    </w:pPr>
    <w:rPr>
      <w:rFonts w:ascii="宋体" w:hAnsi="宋体" w:eastAsia="宋体"/>
      <w:b/>
      <w:bCs/>
      <w:kern w:val="44"/>
      <w:sz w:val="30"/>
      <w:szCs w:val="36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1124" w:firstLineChars="200"/>
      <w:jc w:val="left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hd w:val="clear" w:color="auto" w:fill="FFFFFF"/>
      <w:spacing w:line="240" w:lineRule="auto"/>
      <w:jc w:val="right"/>
    </w:pPr>
    <w:rPr>
      <w:rFonts w:ascii="Calibri" w:hAnsi="Calibri"/>
      <w:color w:val="auto"/>
      <w:sz w:val="28"/>
      <w:szCs w:val="30"/>
    </w:rPr>
  </w:style>
  <w:style w:type="paragraph" w:styleId="7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 w:val="21"/>
      <w:szCs w:val="2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Body Text First Indent"/>
    <w:basedOn w:val="6"/>
    <w:next w:val="6"/>
    <w:qFormat/>
    <w:uiPriority w:val="99"/>
    <w:pPr>
      <w:autoSpaceDE w:val="0"/>
      <w:autoSpaceDN w:val="0"/>
      <w:adjustRightInd w:val="0"/>
      <w:ind w:firstLine="420" w:firstLineChars="100"/>
      <w:jc w:val="left"/>
    </w:pPr>
    <w:rPr>
      <w:kern w:val="0"/>
      <w:sz w:val="20"/>
      <w:szCs w:val="20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8">
    <w:name w:val="标题 2 Char"/>
    <w:link w:val="3"/>
    <w:qFormat/>
    <w:uiPriority w:val="0"/>
    <w:rPr>
      <w:rFonts w:ascii="Arial" w:hAnsi="Arial" w:eastAsia="宋体"/>
      <w:b/>
      <w:sz w:val="28"/>
    </w:rPr>
  </w:style>
  <w:style w:type="paragraph" w:customStyle="1" w:styleId="19">
    <w:name w:val="正文1"/>
    <w:basedOn w:val="1"/>
    <w:qFormat/>
    <w:uiPriority w:val="0"/>
    <w:pPr>
      <w:spacing w:line="360" w:lineRule="auto"/>
      <w:ind w:firstLine="488" w:firstLineChars="200"/>
    </w:pPr>
    <w:rPr>
      <w:rFonts w:ascii="宋体" w:hAnsi="宋体"/>
      <w:color w:val="000000"/>
      <w:spacing w:val="2"/>
      <w:kern w:val="0"/>
      <w:sz w:val="24"/>
    </w:rPr>
  </w:style>
  <w:style w:type="character" w:customStyle="1" w:styleId="20">
    <w:name w:val="font4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2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5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4">
    <w:name w:val="文章正文"/>
    <w:basedOn w:val="1"/>
    <w:qFormat/>
    <w:uiPriority w:val="0"/>
    <w:pPr>
      <w:widowControl w:val="0"/>
      <w:jc w:val="both"/>
    </w:pPr>
    <w:rPr>
      <w:rFonts w:ascii="Times New Roman" w:hAnsi="Times New Roman" w:eastAsia="仿宋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8884</Words>
  <Characters>9489</Characters>
  <Lines>0</Lines>
  <Paragraphs>0</Paragraphs>
  <TotalTime>0</TotalTime>
  <ScaleCrop>false</ScaleCrop>
  <LinksUpToDate>false</LinksUpToDate>
  <CharactersWithSpaces>9672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2023-08-22T11:16:00Z</dcterms:created>
  <dc:creator>hp</dc:creator>
  <cp:lastModifiedBy>user</cp:lastModifiedBy>
  <dcterms:modified xsi:type="dcterms:W3CDTF">2025-06-27T16:57:22Z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32148E04A5AA46488D55C7D6AC7BF86C_13</vt:lpwstr>
  </property>
  <property fmtid="{D5CDD505-2E9C-101B-9397-08002B2CF9AE}" pid="4" name="KSOTemplateDocerSaveRecord">
    <vt:lpwstr>eyJoZGlkIjoiOGJlMDBkMGQ0ZDRiMjI5ZTMzMWQ5MjEwODFiZDQ4MGUiLCJ1c2VySWQiOiI1NjY2NDQ1MDcifQ==</vt:lpwstr>
  </property>
</Properties>
</file>